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7F11CE" w14:textId="5DD0AAE4" w:rsidR="00256460" w:rsidRPr="009E5682" w:rsidRDefault="00695134" w:rsidP="0086282D">
      <w:pPr>
        <w:spacing w:line="276" w:lineRule="auto"/>
        <w:jc w:val="center"/>
        <w:rPr>
          <w:rFonts w:ascii="Times New Roman" w:hAnsi="Times New Roman" w:cs="Times New Roman"/>
          <w:b/>
          <w:color w:val="000000" w:themeColor="text1"/>
          <w:lang w:val="ro-RO"/>
        </w:rPr>
      </w:pPr>
      <w:bookmarkStart w:id="0" w:name="_GoBack"/>
      <w:bookmarkEnd w:id="0"/>
      <w:r w:rsidRPr="009E5682">
        <w:rPr>
          <w:rFonts w:ascii="Times New Roman" w:hAnsi="Times New Roman" w:cs="Times New Roman"/>
          <w:b/>
          <w:color w:val="000000" w:themeColor="text1"/>
          <w:lang w:val="ro-RO"/>
        </w:rPr>
        <w:t xml:space="preserve">Tabel de </w:t>
      </w:r>
      <w:r w:rsidR="00676932" w:rsidRPr="009E5682">
        <w:rPr>
          <w:rFonts w:ascii="Times New Roman" w:hAnsi="Times New Roman" w:cs="Times New Roman"/>
          <w:b/>
          <w:color w:val="000000" w:themeColor="text1"/>
          <w:lang w:val="ro-RO"/>
        </w:rPr>
        <w:t>concordanță</w:t>
      </w:r>
    </w:p>
    <w:tbl>
      <w:tblPr>
        <w:tblW w:w="5446" w:type="pct"/>
        <w:jc w:val="center"/>
        <w:tblCellMar>
          <w:top w:w="15" w:type="dxa"/>
          <w:left w:w="15" w:type="dxa"/>
          <w:bottom w:w="15" w:type="dxa"/>
          <w:right w:w="15" w:type="dxa"/>
        </w:tblCellMar>
        <w:tblLook w:val="04A0" w:firstRow="1" w:lastRow="0" w:firstColumn="1" w:lastColumn="0" w:noHBand="0" w:noVBand="1"/>
      </w:tblPr>
      <w:tblGrid>
        <w:gridCol w:w="14765"/>
      </w:tblGrid>
      <w:tr w:rsidR="009E5682" w:rsidRPr="001742B3" w14:paraId="145265D4" w14:textId="77777777" w:rsidTr="008A31D0">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72E27" w14:textId="0269EA0F" w:rsidR="00695134" w:rsidRPr="009E5682" w:rsidRDefault="00FE5D04" w:rsidP="0086282D">
            <w:pPr>
              <w:spacing w:after="0" w:line="276" w:lineRule="auto"/>
              <w:jc w:val="both"/>
              <w:rPr>
                <w:rFonts w:ascii="Times New Roman" w:eastAsia="Times New Roman" w:hAnsi="Times New Roman" w:cs="Times New Roman"/>
                <w:b/>
                <w:color w:val="000000" w:themeColor="text1"/>
                <w:lang w:val="ro-RO"/>
              </w:rPr>
            </w:pPr>
            <w:r w:rsidRPr="009E5682">
              <w:rPr>
                <w:rFonts w:ascii="Times New Roman" w:eastAsia="Times New Roman" w:hAnsi="Times New Roman" w:cs="Times New Roman"/>
                <w:b/>
                <w:color w:val="000000" w:themeColor="text1"/>
                <w:lang w:val="ro-RO"/>
              </w:rPr>
              <w:t>1. Titlul actului</w:t>
            </w:r>
            <w:r w:rsidR="00695134" w:rsidRPr="009E5682">
              <w:rPr>
                <w:rFonts w:ascii="Times New Roman" w:eastAsia="Times New Roman" w:hAnsi="Times New Roman" w:cs="Times New Roman"/>
                <w:b/>
                <w:color w:val="000000" w:themeColor="text1"/>
                <w:lang w:val="ro-RO"/>
              </w:rPr>
              <w:t xml:space="preserve"> </w:t>
            </w:r>
            <w:r w:rsidR="00FF5AFE" w:rsidRPr="009E5682">
              <w:rPr>
                <w:rFonts w:ascii="Times New Roman" w:eastAsia="Times New Roman" w:hAnsi="Times New Roman" w:cs="Times New Roman"/>
                <w:b/>
                <w:color w:val="000000" w:themeColor="text1"/>
                <w:lang w:val="ro-RO"/>
              </w:rPr>
              <w:t>Uniunii Europene, inclusiv cele mai recente amendamente incluse</w:t>
            </w:r>
          </w:p>
          <w:p w14:paraId="437255CD" w14:textId="77777777" w:rsidR="00695134" w:rsidRPr="009E5682" w:rsidRDefault="00695134" w:rsidP="0086282D">
            <w:pPr>
              <w:spacing w:after="0" w:line="276" w:lineRule="auto"/>
              <w:jc w:val="both"/>
              <w:rPr>
                <w:rFonts w:ascii="Times New Roman" w:eastAsia="Times New Roman" w:hAnsi="Times New Roman" w:cs="Times New Roman"/>
                <w:color w:val="000000" w:themeColor="text1"/>
                <w:lang w:val="ro-RO"/>
              </w:rPr>
            </w:pPr>
          </w:p>
        </w:tc>
      </w:tr>
      <w:tr w:rsidR="009E5682" w:rsidRPr="001742B3" w14:paraId="02D86AE9" w14:textId="77777777" w:rsidTr="008A31D0">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F23497" w14:textId="492B7DAF" w:rsidR="001B0A6C" w:rsidRPr="009E5682" w:rsidRDefault="0047266B" w:rsidP="0002540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u w:val="single"/>
                <w:lang w:val="ro-RO"/>
              </w:rPr>
              <w:t xml:space="preserve">REGULAMENTUL DELEGAT (UE) </w:t>
            </w:r>
            <w:r w:rsidR="002D5F92" w:rsidRPr="002D5F92">
              <w:rPr>
                <w:rFonts w:ascii="Times New Roman" w:hAnsi="Times New Roman" w:cs="Times New Roman"/>
                <w:b/>
                <w:color w:val="000000" w:themeColor="text1"/>
                <w:u w:val="single"/>
                <w:lang w:val="ro-RO"/>
              </w:rPr>
              <w:t>2017/208 AL COMISIEI din 31 octombrie 2016 de completare a Regulamentului (UE) nr. 575/2013 al Parlamentului European și al Consiliului cu privire la standarde tehnice de reglementare pentru ieșirile de lichidități suplimentare care corespund nevoilor de garanții reale rezultate din impactul unui scenariu de piață negativ asupra tranzacțiilor cu instrumente financiare derivate ale unei instituții (Text cu relevanță pentru SEE)</w:t>
            </w:r>
            <w:r w:rsidR="00DA1CCB" w:rsidRPr="009E5682">
              <w:rPr>
                <w:rFonts w:ascii="Times New Roman" w:hAnsi="Times New Roman" w:cs="Times New Roman"/>
                <w:b/>
                <w:color w:val="000000" w:themeColor="text1"/>
                <w:u w:val="single"/>
                <w:lang w:val="ro-RO"/>
              </w:rPr>
              <w:t>.</w:t>
            </w:r>
          </w:p>
        </w:tc>
      </w:tr>
      <w:tr w:rsidR="009E5682" w:rsidRPr="009E5682" w14:paraId="2743BCD0" w14:textId="77777777" w:rsidTr="008A31D0">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A2F42" w14:textId="3D58C491" w:rsidR="00695134" w:rsidRPr="009E5682" w:rsidRDefault="00695134" w:rsidP="00DA1CCB">
            <w:pPr>
              <w:tabs>
                <w:tab w:val="left" w:pos="5088"/>
              </w:tabs>
              <w:spacing w:after="0" w:line="276" w:lineRule="auto"/>
              <w:jc w:val="both"/>
              <w:rPr>
                <w:rFonts w:ascii="Times New Roman" w:eastAsia="Times New Roman" w:hAnsi="Times New Roman" w:cs="Times New Roman"/>
                <w:b/>
                <w:color w:val="000000" w:themeColor="text1"/>
                <w:lang w:val="ro-RO"/>
              </w:rPr>
            </w:pPr>
            <w:r w:rsidRPr="009E5682">
              <w:rPr>
                <w:rFonts w:ascii="Times New Roman" w:eastAsia="Times New Roman" w:hAnsi="Times New Roman" w:cs="Times New Roman"/>
                <w:b/>
                <w:color w:val="000000" w:themeColor="text1"/>
                <w:lang w:val="ro-RO"/>
              </w:rPr>
              <w:t xml:space="preserve">2. Titlul </w:t>
            </w:r>
            <w:r w:rsidR="00FF5AFE" w:rsidRPr="009E5682">
              <w:rPr>
                <w:rFonts w:ascii="Times New Roman" w:eastAsia="Times New Roman" w:hAnsi="Times New Roman" w:cs="Times New Roman"/>
                <w:b/>
                <w:color w:val="000000" w:themeColor="text1"/>
                <w:lang w:val="ro-RO"/>
              </w:rPr>
              <w:t>act</w:t>
            </w:r>
            <w:r w:rsidR="00DA1CCB" w:rsidRPr="009E5682">
              <w:rPr>
                <w:rFonts w:ascii="Times New Roman" w:eastAsia="Times New Roman" w:hAnsi="Times New Roman" w:cs="Times New Roman"/>
                <w:b/>
                <w:color w:val="000000" w:themeColor="text1"/>
                <w:lang w:val="ro-RO"/>
              </w:rPr>
              <w:t>ului</w:t>
            </w:r>
            <w:r w:rsidR="00FF5AFE" w:rsidRPr="009E5682">
              <w:rPr>
                <w:rFonts w:ascii="Times New Roman" w:eastAsia="Times New Roman" w:hAnsi="Times New Roman" w:cs="Times New Roman"/>
                <w:b/>
                <w:color w:val="000000" w:themeColor="text1"/>
                <w:lang w:val="ro-RO"/>
              </w:rPr>
              <w:t xml:space="preserve"> normativ </w:t>
            </w:r>
            <w:r w:rsidR="008D49A9" w:rsidRPr="009E5682">
              <w:rPr>
                <w:rFonts w:ascii="Times New Roman" w:eastAsia="Times New Roman" w:hAnsi="Times New Roman" w:cs="Times New Roman"/>
                <w:b/>
                <w:color w:val="000000" w:themeColor="text1"/>
                <w:lang w:val="ro-RO"/>
              </w:rPr>
              <w:t>național</w:t>
            </w:r>
          </w:p>
        </w:tc>
      </w:tr>
      <w:tr w:rsidR="009E5682" w:rsidRPr="009E5682" w14:paraId="23D1DF4C" w14:textId="77777777" w:rsidTr="008A31D0">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4AB36B" w14:textId="6BF3358A" w:rsidR="00695134" w:rsidRPr="009E5682" w:rsidRDefault="001F213B" w:rsidP="007112BB">
            <w:pPr>
              <w:tabs>
                <w:tab w:val="left" w:pos="5088"/>
              </w:tabs>
              <w:spacing w:after="0" w:line="276" w:lineRule="auto"/>
              <w:jc w:val="both"/>
              <w:rPr>
                <w:rFonts w:ascii="Times New Roman" w:hAnsi="Times New Roman" w:cs="Times New Roman"/>
                <w:color w:val="000000" w:themeColor="text1"/>
                <w:lang w:val="ro-RO"/>
              </w:rPr>
            </w:pPr>
            <w:r w:rsidRPr="009E5682">
              <w:rPr>
                <w:rFonts w:ascii="Times New Roman" w:hAnsi="Times New Roman" w:cs="Times New Roman"/>
                <w:color w:val="000000" w:themeColor="text1"/>
                <w:u w:val="single"/>
                <w:lang w:val="ro-RO"/>
              </w:rPr>
              <w:t xml:space="preserve">Regulamentul privind </w:t>
            </w:r>
            <w:r w:rsidR="00F773C8" w:rsidRPr="009E5682">
              <w:rPr>
                <w:rFonts w:ascii="Times New Roman" w:hAnsi="Times New Roman" w:cs="Times New Roman"/>
                <w:color w:val="000000" w:themeColor="text1"/>
                <w:u w:val="single"/>
                <w:lang w:val="ro-RO"/>
              </w:rPr>
              <w:t>lichiditatea</w:t>
            </w:r>
            <w:r w:rsidR="00DA1CCB" w:rsidRPr="009E5682">
              <w:rPr>
                <w:rFonts w:ascii="Times New Roman" w:hAnsi="Times New Roman" w:cs="Times New Roman"/>
                <w:color w:val="000000" w:themeColor="text1"/>
                <w:u w:val="single"/>
                <w:lang w:val="ro-RO"/>
              </w:rPr>
              <w:t>, aprobat prin Hotărârea Comitetului executiv</w:t>
            </w:r>
            <w:r w:rsidR="007112BB" w:rsidRPr="009E5682">
              <w:rPr>
                <w:rFonts w:ascii="Times New Roman" w:hAnsi="Times New Roman" w:cs="Times New Roman"/>
                <w:color w:val="000000" w:themeColor="text1"/>
                <w:u w:val="single"/>
                <w:lang w:val="ro-RO"/>
              </w:rPr>
              <w:t xml:space="preserve"> </w:t>
            </w:r>
            <w:r w:rsidR="00DA1CCB" w:rsidRPr="009E5682">
              <w:rPr>
                <w:rFonts w:ascii="Times New Roman" w:hAnsi="Times New Roman" w:cs="Times New Roman"/>
                <w:color w:val="000000" w:themeColor="text1"/>
                <w:u w:val="single"/>
                <w:lang w:val="ro-RO"/>
              </w:rPr>
              <w:t>al Băncii Naționale a Moldovei nr.44 din 26 februarie 2020, Monitorul Oficial al Republicii Moldova nr.87-93 din 20.03.2020, art.317, în vigoare din 01.10.2020</w:t>
            </w:r>
          </w:p>
        </w:tc>
      </w:tr>
      <w:tr w:rsidR="009E5682" w:rsidRPr="001742B3" w14:paraId="7DE6D323" w14:textId="77777777" w:rsidTr="008A31D0">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03D27" w14:textId="38D5846B" w:rsidR="00695134" w:rsidRPr="009E5682" w:rsidRDefault="00695134" w:rsidP="001F213B">
            <w:pPr>
              <w:spacing w:after="0" w:line="276" w:lineRule="auto"/>
              <w:jc w:val="both"/>
              <w:rPr>
                <w:rFonts w:ascii="Times New Roman" w:eastAsia="Times New Roman" w:hAnsi="Times New Roman" w:cs="Times New Roman"/>
                <w:b/>
                <w:color w:val="000000" w:themeColor="text1"/>
                <w:lang w:val="ro-RO"/>
              </w:rPr>
            </w:pPr>
            <w:r w:rsidRPr="009E5682">
              <w:rPr>
                <w:rFonts w:ascii="Times New Roman" w:eastAsia="Times New Roman" w:hAnsi="Times New Roman" w:cs="Times New Roman"/>
                <w:b/>
                <w:color w:val="000000" w:themeColor="text1"/>
                <w:lang w:val="ro-RO"/>
              </w:rPr>
              <w:t xml:space="preserve">3. </w:t>
            </w:r>
            <w:r w:rsidR="00FF5AFE" w:rsidRPr="009E5682">
              <w:rPr>
                <w:rFonts w:ascii="Times New Roman" w:eastAsia="Times New Roman" w:hAnsi="Times New Roman" w:cs="Times New Roman"/>
                <w:b/>
                <w:color w:val="000000" w:themeColor="text1"/>
                <w:lang w:val="ro-RO"/>
              </w:rPr>
              <w:t>Gradul general de compatibilitate</w:t>
            </w:r>
            <w:r w:rsidR="001F213B" w:rsidRPr="009E5682">
              <w:rPr>
                <w:rFonts w:ascii="Times New Roman" w:eastAsia="Times New Roman" w:hAnsi="Times New Roman" w:cs="Times New Roman"/>
                <w:color w:val="000000" w:themeColor="text1"/>
                <w:lang w:val="ro-RO"/>
              </w:rPr>
              <w:t>–</w:t>
            </w:r>
            <w:r w:rsidRPr="009E5682">
              <w:rPr>
                <w:rFonts w:ascii="Times New Roman" w:eastAsia="Times New Roman" w:hAnsi="Times New Roman" w:cs="Times New Roman"/>
                <w:color w:val="000000" w:themeColor="text1"/>
                <w:lang w:val="ro-RO"/>
              </w:rPr>
              <w:t xml:space="preserve"> </w:t>
            </w:r>
            <w:r w:rsidR="001F213B" w:rsidRPr="009E5682">
              <w:rPr>
                <w:rFonts w:ascii="Times New Roman" w:eastAsia="Times New Roman" w:hAnsi="Times New Roman" w:cs="Times New Roman"/>
                <w:color w:val="000000" w:themeColor="text1"/>
                <w:lang w:val="ro-RO"/>
              </w:rPr>
              <w:t>Parțial c</w:t>
            </w:r>
            <w:r w:rsidRPr="009E5682">
              <w:rPr>
                <w:rFonts w:ascii="Times New Roman" w:eastAsia="Times New Roman" w:hAnsi="Times New Roman" w:cs="Times New Roman"/>
                <w:color w:val="000000" w:themeColor="text1"/>
                <w:lang w:val="ro-RO"/>
              </w:rPr>
              <w:t>ompatibil</w:t>
            </w:r>
          </w:p>
        </w:tc>
      </w:tr>
    </w:tbl>
    <w:p w14:paraId="1B3EDAFB" w14:textId="77777777" w:rsidR="00CC29F9" w:rsidRPr="009E5682" w:rsidRDefault="00CC29F9" w:rsidP="0086282D">
      <w:pPr>
        <w:spacing w:line="276" w:lineRule="auto"/>
        <w:jc w:val="both"/>
        <w:rPr>
          <w:rFonts w:ascii="Times New Roman" w:hAnsi="Times New Roman" w:cs="Times New Roman"/>
          <w:color w:val="000000" w:themeColor="text1"/>
          <w:lang w:val="ro-RO"/>
        </w:rPr>
      </w:pPr>
    </w:p>
    <w:tbl>
      <w:tblPr>
        <w:tblW w:w="5438" w:type="pct"/>
        <w:tblInd w:w="-579" w:type="dxa"/>
        <w:tblLayout w:type="fixed"/>
        <w:tblLook w:val="01E0" w:firstRow="1" w:lastRow="1" w:firstColumn="1" w:lastColumn="1" w:noHBand="0" w:noVBand="0"/>
      </w:tblPr>
      <w:tblGrid>
        <w:gridCol w:w="5109"/>
        <w:gridCol w:w="4537"/>
        <w:gridCol w:w="991"/>
        <w:gridCol w:w="2980"/>
        <w:gridCol w:w="1133"/>
      </w:tblGrid>
      <w:tr w:rsidR="009E5682" w:rsidRPr="009E5682" w14:paraId="1DB368D0" w14:textId="77777777" w:rsidTr="00356784">
        <w:trPr>
          <w:tblHeader/>
        </w:trPr>
        <w:tc>
          <w:tcPr>
            <w:tcW w:w="1732" w:type="pct"/>
            <w:tcBorders>
              <w:top w:val="single" w:sz="4" w:space="0" w:color="auto"/>
              <w:left w:val="single" w:sz="4" w:space="0" w:color="auto"/>
              <w:bottom w:val="single" w:sz="4" w:space="0" w:color="auto"/>
              <w:right w:val="single" w:sz="4" w:space="0" w:color="auto"/>
            </w:tcBorders>
            <w:vAlign w:val="center"/>
          </w:tcPr>
          <w:p w14:paraId="67250D38" w14:textId="552DE616" w:rsidR="00356784" w:rsidRPr="009E5682" w:rsidRDefault="00356784" w:rsidP="009F434F">
            <w:pPr>
              <w:spacing w:line="276" w:lineRule="auto"/>
              <w:jc w:val="center"/>
              <w:rPr>
                <w:rFonts w:ascii="Times New Roman" w:hAnsi="Times New Roman" w:cs="Times New Roman"/>
                <w:b/>
                <w:color w:val="000000" w:themeColor="text1"/>
                <w:lang w:val="ro-RO"/>
              </w:rPr>
            </w:pPr>
            <w:r w:rsidRPr="009E5682">
              <w:rPr>
                <w:rFonts w:ascii="Times New Roman" w:eastAsia="Times New Roman" w:hAnsi="Times New Roman" w:cs="Times New Roman"/>
                <w:b/>
                <w:color w:val="000000" w:themeColor="text1"/>
                <w:lang w:val="ro-RO"/>
              </w:rPr>
              <w:t>Actul Uniunii Europene</w:t>
            </w:r>
          </w:p>
        </w:tc>
        <w:tc>
          <w:tcPr>
            <w:tcW w:w="1538" w:type="pct"/>
            <w:tcBorders>
              <w:top w:val="single" w:sz="4" w:space="0" w:color="auto"/>
              <w:left w:val="single" w:sz="4" w:space="0" w:color="auto"/>
              <w:bottom w:val="single" w:sz="4" w:space="0" w:color="auto"/>
              <w:right w:val="single" w:sz="4" w:space="0" w:color="auto"/>
            </w:tcBorders>
            <w:vAlign w:val="center"/>
          </w:tcPr>
          <w:p w14:paraId="23A10CE2" w14:textId="1179B27D" w:rsidR="00356784" w:rsidRPr="009E5682" w:rsidRDefault="00356784" w:rsidP="00C83BE5">
            <w:pPr>
              <w:spacing w:line="240" w:lineRule="auto"/>
              <w:rPr>
                <w:rFonts w:ascii="Times New Roman" w:hAnsi="Times New Roman" w:cs="Times New Roman"/>
                <w:b/>
                <w:color w:val="000000" w:themeColor="text1"/>
                <w:lang w:val="ro-RO"/>
              </w:rPr>
            </w:pPr>
            <w:r w:rsidRPr="009E5682">
              <w:rPr>
                <w:rFonts w:ascii="Times New Roman" w:eastAsia="Times New Roman" w:hAnsi="Times New Roman" w:cs="Times New Roman"/>
                <w:b/>
                <w:color w:val="000000" w:themeColor="text1"/>
                <w:lang w:val="ro-RO"/>
              </w:rPr>
              <w:t>Actul normativ național</w:t>
            </w:r>
          </w:p>
        </w:tc>
        <w:tc>
          <w:tcPr>
            <w:tcW w:w="336" w:type="pct"/>
            <w:tcBorders>
              <w:top w:val="single" w:sz="4" w:space="0" w:color="auto"/>
              <w:left w:val="single" w:sz="4" w:space="0" w:color="auto"/>
              <w:bottom w:val="single" w:sz="4" w:space="0" w:color="auto"/>
              <w:right w:val="single" w:sz="4" w:space="0" w:color="auto"/>
            </w:tcBorders>
            <w:vAlign w:val="center"/>
          </w:tcPr>
          <w:p w14:paraId="74781297" w14:textId="13F3139F" w:rsidR="00356784" w:rsidRPr="009E5682" w:rsidRDefault="00356784" w:rsidP="001408EF">
            <w:pPr>
              <w:spacing w:line="240" w:lineRule="auto"/>
              <w:rPr>
                <w:rFonts w:ascii="Times New Roman" w:eastAsia="Times New Roman" w:hAnsi="Times New Roman" w:cs="Times New Roman"/>
                <w:b/>
                <w:color w:val="000000" w:themeColor="text1"/>
                <w:lang w:val="ro-RO"/>
              </w:rPr>
            </w:pPr>
            <w:r w:rsidRPr="009E5682">
              <w:rPr>
                <w:rFonts w:ascii="Times New Roman" w:eastAsia="Times New Roman" w:hAnsi="Times New Roman" w:cs="Times New Roman"/>
                <w:b/>
                <w:color w:val="000000" w:themeColor="text1"/>
                <w:lang w:val="ro-RO"/>
              </w:rPr>
              <w:t>Gradul de compatibilitate</w:t>
            </w:r>
          </w:p>
        </w:tc>
        <w:tc>
          <w:tcPr>
            <w:tcW w:w="1010" w:type="pct"/>
            <w:tcBorders>
              <w:top w:val="single" w:sz="4" w:space="0" w:color="auto"/>
              <w:left w:val="single" w:sz="4" w:space="0" w:color="auto"/>
              <w:bottom w:val="single" w:sz="4" w:space="0" w:color="auto"/>
              <w:right w:val="single" w:sz="4" w:space="0" w:color="auto"/>
            </w:tcBorders>
            <w:vAlign w:val="center"/>
          </w:tcPr>
          <w:p w14:paraId="3D6E188D" w14:textId="04C127A7" w:rsidR="00356784" w:rsidRPr="009E5682" w:rsidRDefault="00356784" w:rsidP="00CE1623">
            <w:pPr>
              <w:spacing w:line="276" w:lineRule="auto"/>
              <w:rPr>
                <w:rFonts w:ascii="Times New Roman" w:hAnsi="Times New Roman" w:cs="Times New Roman"/>
                <w:color w:val="000000" w:themeColor="text1"/>
                <w:lang w:val="ro-RO"/>
              </w:rPr>
            </w:pPr>
            <w:r w:rsidRPr="009E5682">
              <w:rPr>
                <w:rFonts w:ascii="Times New Roman" w:eastAsia="Times New Roman" w:hAnsi="Times New Roman" w:cs="Times New Roman"/>
                <w:b/>
                <w:color w:val="000000" w:themeColor="text1"/>
                <w:lang w:val="ro-RO"/>
              </w:rPr>
              <w:t>Observațiile Republicii Moldova</w:t>
            </w:r>
          </w:p>
        </w:tc>
        <w:tc>
          <w:tcPr>
            <w:tcW w:w="384" w:type="pct"/>
            <w:tcBorders>
              <w:top w:val="single" w:sz="4" w:space="0" w:color="auto"/>
              <w:left w:val="single" w:sz="4" w:space="0" w:color="auto"/>
              <w:bottom w:val="single" w:sz="4" w:space="0" w:color="auto"/>
              <w:right w:val="single" w:sz="4" w:space="0" w:color="auto"/>
            </w:tcBorders>
            <w:vAlign w:val="center"/>
          </w:tcPr>
          <w:p w14:paraId="43B0B011" w14:textId="3E17FDED" w:rsidR="00356784" w:rsidRPr="009E5682" w:rsidRDefault="00356784" w:rsidP="009F434F">
            <w:pPr>
              <w:spacing w:line="276" w:lineRule="auto"/>
              <w:jc w:val="center"/>
              <w:rPr>
                <w:rFonts w:ascii="Times New Roman" w:eastAsia="Times New Roman" w:hAnsi="Times New Roman" w:cs="Times New Roman"/>
                <w:b/>
                <w:color w:val="000000" w:themeColor="text1"/>
                <w:lang w:val="ro-RO"/>
              </w:rPr>
            </w:pPr>
            <w:r w:rsidRPr="009E5682">
              <w:rPr>
                <w:rFonts w:ascii="Times New Roman" w:eastAsia="Times New Roman" w:hAnsi="Times New Roman" w:cs="Times New Roman"/>
                <w:b/>
                <w:color w:val="000000" w:themeColor="text1"/>
                <w:lang w:val="ro-RO"/>
              </w:rPr>
              <w:t>Observațiile</w:t>
            </w:r>
            <w:r w:rsidRPr="009E5682">
              <w:rPr>
                <w:rFonts w:ascii="Times New Roman" w:hAnsi="Times New Roman" w:cs="Times New Roman"/>
                <w:color w:val="000000" w:themeColor="text1"/>
              </w:rPr>
              <w:t xml:space="preserve"> </w:t>
            </w:r>
            <w:r w:rsidRPr="009E5682">
              <w:rPr>
                <w:rFonts w:ascii="Times New Roman" w:eastAsia="Times New Roman" w:hAnsi="Times New Roman" w:cs="Times New Roman"/>
                <w:b/>
                <w:color w:val="000000" w:themeColor="text1"/>
                <w:lang w:val="ro-RO"/>
              </w:rPr>
              <w:t>Uniunii Europene</w:t>
            </w:r>
          </w:p>
        </w:tc>
      </w:tr>
      <w:tr w:rsidR="009E5682" w:rsidRPr="009E5682" w14:paraId="6A7CDBE5" w14:textId="77777777" w:rsidTr="00356784">
        <w:trPr>
          <w:trHeight w:val="253"/>
          <w:tblHeader/>
        </w:trPr>
        <w:tc>
          <w:tcPr>
            <w:tcW w:w="1732" w:type="pct"/>
            <w:tcBorders>
              <w:top w:val="single" w:sz="4" w:space="0" w:color="auto"/>
              <w:left w:val="single" w:sz="4" w:space="0" w:color="auto"/>
              <w:bottom w:val="single" w:sz="4" w:space="0" w:color="auto"/>
              <w:right w:val="single" w:sz="4" w:space="0" w:color="auto"/>
            </w:tcBorders>
            <w:vAlign w:val="center"/>
          </w:tcPr>
          <w:p w14:paraId="47ACE9E8" w14:textId="45AC1A9E" w:rsidR="00356784" w:rsidRPr="009E5682" w:rsidRDefault="00356784" w:rsidP="009F434F">
            <w:pPr>
              <w:spacing w:line="276" w:lineRule="auto"/>
              <w:jc w:val="center"/>
              <w:rPr>
                <w:rFonts w:ascii="Times New Roman" w:eastAsia="Times New Roman" w:hAnsi="Times New Roman" w:cs="Times New Roman"/>
                <w:b/>
                <w:color w:val="000000" w:themeColor="text1"/>
                <w:lang w:val="ro-RO"/>
              </w:rPr>
            </w:pPr>
            <w:r w:rsidRPr="009E5682">
              <w:rPr>
                <w:rFonts w:ascii="Times New Roman" w:eastAsia="Times New Roman" w:hAnsi="Times New Roman" w:cs="Times New Roman"/>
                <w:b/>
                <w:color w:val="000000" w:themeColor="text1"/>
                <w:lang w:val="ro-RO"/>
              </w:rPr>
              <w:t>4</w:t>
            </w:r>
          </w:p>
        </w:tc>
        <w:tc>
          <w:tcPr>
            <w:tcW w:w="1538" w:type="pct"/>
            <w:tcBorders>
              <w:top w:val="single" w:sz="4" w:space="0" w:color="auto"/>
              <w:left w:val="single" w:sz="4" w:space="0" w:color="auto"/>
              <w:bottom w:val="single" w:sz="4" w:space="0" w:color="auto"/>
              <w:right w:val="single" w:sz="4" w:space="0" w:color="auto"/>
            </w:tcBorders>
            <w:vAlign w:val="center"/>
          </w:tcPr>
          <w:p w14:paraId="542C3BD4" w14:textId="1B9D97BF" w:rsidR="00356784" w:rsidRPr="009E5682" w:rsidRDefault="00356784" w:rsidP="00C83BE5">
            <w:pPr>
              <w:spacing w:line="240" w:lineRule="auto"/>
              <w:rPr>
                <w:rFonts w:ascii="Times New Roman" w:eastAsia="Times New Roman" w:hAnsi="Times New Roman" w:cs="Times New Roman"/>
                <w:b/>
                <w:color w:val="000000" w:themeColor="text1"/>
                <w:lang w:val="ro-RO"/>
              </w:rPr>
            </w:pPr>
            <w:r w:rsidRPr="009E5682">
              <w:rPr>
                <w:rFonts w:ascii="Times New Roman" w:eastAsia="Times New Roman" w:hAnsi="Times New Roman" w:cs="Times New Roman"/>
                <w:b/>
                <w:color w:val="000000" w:themeColor="text1"/>
                <w:lang w:val="ro-RO"/>
              </w:rPr>
              <w:t>5</w:t>
            </w:r>
          </w:p>
        </w:tc>
        <w:tc>
          <w:tcPr>
            <w:tcW w:w="336" w:type="pct"/>
            <w:tcBorders>
              <w:top w:val="single" w:sz="4" w:space="0" w:color="auto"/>
              <w:left w:val="single" w:sz="4" w:space="0" w:color="auto"/>
              <w:bottom w:val="single" w:sz="4" w:space="0" w:color="auto"/>
              <w:right w:val="single" w:sz="4" w:space="0" w:color="auto"/>
            </w:tcBorders>
            <w:vAlign w:val="center"/>
          </w:tcPr>
          <w:p w14:paraId="40000BE8" w14:textId="17F6EF67" w:rsidR="00356784" w:rsidRPr="009E5682" w:rsidRDefault="00356784" w:rsidP="009F434F">
            <w:pPr>
              <w:spacing w:line="276" w:lineRule="auto"/>
              <w:jc w:val="center"/>
              <w:rPr>
                <w:rFonts w:ascii="Times New Roman" w:eastAsia="Times New Roman" w:hAnsi="Times New Roman" w:cs="Times New Roman"/>
                <w:b/>
                <w:color w:val="000000" w:themeColor="text1"/>
                <w:lang w:val="ro-RO"/>
              </w:rPr>
            </w:pPr>
            <w:r w:rsidRPr="009E5682">
              <w:rPr>
                <w:rFonts w:ascii="Times New Roman" w:eastAsia="Times New Roman" w:hAnsi="Times New Roman" w:cs="Times New Roman"/>
                <w:b/>
                <w:color w:val="000000" w:themeColor="text1"/>
                <w:lang w:val="ro-RO"/>
              </w:rPr>
              <w:t>6</w:t>
            </w:r>
          </w:p>
        </w:tc>
        <w:tc>
          <w:tcPr>
            <w:tcW w:w="1010" w:type="pct"/>
            <w:tcBorders>
              <w:top w:val="single" w:sz="4" w:space="0" w:color="auto"/>
              <w:left w:val="single" w:sz="4" w:space="0" w:color="auto"/>
              <w:bottom w:val="single" w:sz="4" w:space="0" w:color="auto"/>
              <w:right w:val="single" w:sz="4" w:space="0" w:color="auto"/>
            </w:tcBorders>
            <w:vAlign w:val="center"/>
          </w:tcPr>
          <w:p w14:paraId="5CD59F97" w14:textId="66B81805" w:rsidR="00356784" w:rsidRPr="009E5682" w:rsidRDefault="00356784" w:rsidP="00CE1623">
            <w:pPr>
              <w:spacing w:line="276" w:lineRule="auto"/>
              <w:jc w:val="center"/>
              <w:rPr>
                <w:rFonts w:ascii="Times New Roman" w:eastAsia="Times New Roman" w:hAnsi="Times New Roman" w:cs="Times New Roman"/>
                <w:b/>
                <w:color w:val="000000" w:themeColor="text1"/>
                <w:lang w:val="ro-RO"/>
              </w:rPr>
            </w:pPr>
            <w:r w:rsidRPr="009E5682">
              <w:rPr>
                <w:rFonts w:ascii="Times New Roman" w:eastAsia="Times New Roman" w:hAnsi="Times New Roman" w:cs="Times New Roman"/>
                <w:b/>
                <w:color w:val="000000" w:themeColor="text1"/>
                <w:lang w:val="ro-RO"/>
              </w:rPr>
              <w:t>7</w:t>
            </w:r>
          </w:p>
        </w:tc>
        <w:tc>
          <w:tcPr>
            <w:tcW w:w="384" w:type="pct"/>
            <w:tcBorders>
              <w:top w:val="single" w:sz="4" w:space="0" w:color="auto"/>
              <w:left w:val="single" w:sz="4" w:space="0" w:color="auto"/>
              <w:bottom w:val="single" w:sz="4" w:space="0" w:color="auto"/>
              <w:right w:val="single" w:sz="4" w:space="0" w:color="auto"/>
            </w:tcBorders>
            <w:vAlign w:val="center"/>
          </w:tcPr>
          <w:p w14:paraId="0A585BAB" w14:textId="7AE7476F" w:rsidR="00356784" w:rsidRPr="009E5682" w:rsidRDefault="00356784" w:rsidP="009F434F">
            <w:pPr>
              <w:spacing w:line="276" w:lineRule="auto"/>
              <w:jc w:val="center"/>
              <w:rPr>
                <w:rFonts w:ascii="Times New Roman" w:eastAsia="Times New Roman" w:hAnsi="Times New Roman" w:cs="Times New Roman"/>
                <w:b/>
                <w:color w:val="000000" w:themeColor="text1"/>
                <w:lang w:val="ro-RO"/>
              </w:rPr>
            </w:pPr>
            <w:r w:rsidRPr="009E5682">
              <w:rPr>
                <w:rFonts w:ascii="Times New Roman" w:eastAsia="Times New Roman" w:hAnsi="Times New Roman" w:cs="Times New Roman"/>
                <w:b/>
                <w:color w:val="000000" w:themeColor="text1"/>
                <w:lang w:val="ro-RO"/>
              </w:rPr>
              <w:t>8</w:t>
            </w:r>
          </w:p>
        </w:tc>
      </w:tr>
      <w:tr w:rsidR="009E5682" w:rsidRPr="009E5682" w14:paraId="656FC12B"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tcPr>
          <w:p w14:paraId="5C8327DF" w14:textId="35A836A3" w:rsidR="00356784" w:rsidRPr="009E5682" w:rsidRDefault="002D5F92" w:rsidP="00AD41C8">
            <w:pPr>
              <w:spacing w:line="276" w:lineRule="auto"/>
              <w:rPr>
                <w:rFonts w:ascii="Times New Roman" w:hAnsi="Times New Roman" w:cs="Times New Roman"/>
                <w:b/>
                <w:color w:val="000000" w:themeColor="text1"/>
                <w:lang w:val="ro-RO"/>
              </w:rPr>
            </w:pPr>
            <w:r w:rsidRPr="002D5F92">
              <w:rPr>
                <w:rFonts w:ascii="Times New Roman" w:hAnsi="Times New Roman" w:cs="Times New Roman"/>
                <w:b/>
                <w:color w:val="000000" w:themeColor="text1"/>
                <w:lang w:val="ro-RO"/>
              </w:rPr>
              <w:t xml:space="preserve">REGULAMENTUL DELEGAT (UE) 2017/208 AL COMISIEI din 31 octombrie 2016 de completare a Regulamentului (UE) nr. 575/2013 al Parlamentului European și al Consiliului cu privire la standarde tehnice de reglementare pentru ieșirile de lichidități suplimentare care corespund nevoilor de garanții reale rezultate din impactul unui scenariu de piață negativ asupra tranzacțiilor cu instrumente </w:t>
            </w:r>
            <w:r w:rsidRPr="002D5F92">
              <w:rPr>
                <w:rFonts w:ascii="Times New Roman" w:hAnsi="Times New Roman" w:cs="Times New Roman"/>
                <w:b/>
                <w:color w:val="000000" w:themeColor="text1"/>
                <w:lang w:val="ro-RO"/>
              </w:rPr>
              <w:lastRenderedPageBreak/>
              <w:t>financiare derivate ale unei instituții (Text cu relevanță pentru SEE).</w:t>
            </w:r>
          </w:p>
        </w:tc>
        <w:tc>
          <w:tcPr>
            <w:tcW w:w="1538" w:type="pct"/>
          </w:tcPr>
          <w:p w14:paraId="546185C6" w14:textId="4120F111" w:rsidR="00356784" w:rsidRPr="009E5682" w:rsidRDefault="00356784" w:rsidP="00134E4B">
            <w:pPr>
              <w:spacing w:line="240"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lastRenderedPageBreak/>
              <w:t>Regulamentul privind lichiditate</w:t>
            </w:r>
            <w:r w:rsidR="004F449E" w:rsidRPr="009E5682">
              <w:rPr>
                <w:rFonts w:ascii="Times New Roman" w:hAnsi="Times New Roman" w:cs="Times New Roman"/>
                <w:b/>
                <w:color w:val="000000" w:themeColor="text1"/>
                <w:lang w:val="ro-RO"/>
              </w:rPr>
              <w:t xml:space="preserve">a </w:t>
            </w:r>
            <w:r w:rsidRPr="009E5682">
              <w:rPr>
                <w:rFonts w:ascii="Times New Roman" w:hAnsi="Times New Roman" w:cs="Times New Roman"/>
                <w:b/>
                <w:color w:val="000000" w:themeColor="text1"/>
                <w:lang w:val="ro-RO"/>
              </w:rPr>
              <w:t>nr.44/2020</w:t>
            </w:r>
          </w:p>
          <w:p w14:paraId="142410A1" w14:textId="77777777" w:rsidR="00356784" w:rsidRPr="009E5682" w:rsidRDefault="00356784" w:rsidP="00C83BE5">
            <w:pPr>
              <w:spacing w:line="240" w:lineRule="auto"/>
              <w:ind w:left="448"/>
              <w:rPr>
                <w:rFonts w:ascii="Times New Roman" w:hAnsi="Times New Roman" w:cs="Times New Roman"/>
                <w:color w:val="000000" w:themeColor="text1"/>
                <w:lang w:val="ro-RO"/>
              </w:rPr>
            </w:pPr>
          </w:p>
        </w:tc>
        <w:tc>
          <w:tcPr>
            <w:tcW w:w="336" w:type="pct"/>
          </w:tcPr>
          <w:p w14:paraId="469EB114" w14:textId="77777777" w:rsidR="00356784" w:rsidRPr="009E5682" w:rsidRDefault="00356784" w:rsidP="00AD41C8">
            <w:pPr>
              <w:spacing w:line="276" w:lineRule="auto"/>
              <w:rPr>
                <w:rFonts w:ascii="Times New Roman" w:hAnsi="Times New Roman" w:cs="Times New Roman"/>
                <w:color w:val="000000" w:themeColor="text1"/>
                <w:lang w:val="ro-RO"/>
              </w:rPr>
            </w:pPr>
          </w:p>
        </w:tc>
        <w:tc>
          <w:tcPr>
            <w:tcW w:w="1010" w:type="pct"/>
          </w:tcPr>
          <w:p w14:paraId="50FC15C5" w14:textId="77777777" w:rsidR="00356784" w:rsidRPr="009E5682" w:rsidRDefault="00356784" w:rsidP="00AD41C8">
            <w:pPr>
              <w:spacing w:line="276" w:lineRule="auto"/>
              <w:rPr>
                <w:rFonts w:ascii="Times New Roman" w:hAnsi="Times New Roman" w:cs="Times New Roman"/>
                <w:color w:val="000000" w:themeColor="text1"/>
                <w:lang w:val="ro-RO"/>
              </w:rPr>
            </w:pPr>
          </w:p>
        </w:tc>
        <w:tc>
          <w:tcPr>
            <w:tcW w:w="384" w:type="pct"/>
          </w:tcPr>
          <w:p w14:paraId="71DC07AC" w14:textId="17FE9AB3" w:rsidR="00356784" w:rsidRPr="009E5682" w:rsidRDefault="00356784" w:rsidP="00AD41C8">
            <w:pPr>
              <w:spacing w:line="276" w:lineRule="auto"/>
              <w:rPr>
                <w:rFonts w:ascii="Times New Roman" w:hAnsi="Times New Roman" w:cs="Times New Roman"/>
                <w:color w:val="000000" w:themeColor="text1"/>
                <w:lang w:val="ro-RO"/>
              </w:rPr>
            </w:pPr>
          </w:p>
        </w:tc>
      </w:tr>
      <w:tr w:rsidR="009E5682" w:rsidRPr="001742B3" w14:paraId="7F221446"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368D074C" w14:textId="41081B15" w:rsidR="00356784" w:rsidRPr="009E5682" w:rsidRDefault="00356784" w:rsidP="00AD41C8">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 xml:space="preserve">Articolul 1. </w:t>
            </w:r>
            <w:r w:rsidR="002D5F92" w:rsidRPr="002D5F92">
              <w:rPr>
                <w:rFonts w:ascii="Times New Roman" w:hAnsi="Times New Roman" w:cs="Times New Roman"/>
                <w:b/>
                <w:color w:val="000000" w:themeColor="text1"/>
                <w:lang w:val="ro-RO"/>
              </w:rPr>
              <w:t>Caracterul semnificativ al tranzacțiilor cu instrumente financiare derivate ale unei instituții</w:t>
            </w:r>
          </w:p>
        </w:tc>
        <w:tc>
          <w:tcPr>
            <w:tcW w:w="1538" w:type="pct"/>
          </w:tcPr>
          <w:p w14:paraId="3880AE35"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336" w:type="pct"/>
          </w:tcPr>
          <w:p w14:paraId="3BA8000B"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1010" w:type="pct"/>
          </w:tcPr>
          <w:p w14:paraId="37168934"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384" w:type="pct"/>
          </w:tcPr>
          <w:p w14:paraId="769A563F" w14:textId="77777777" w:rsidR="00356784" w:rsidRPr="009E5682" w:rsidRDefault="00356784" w:rsidP="0022135F">
            <w:pPr>
              <w:spacing w:line="276" w:lineRule="auto"/>
              <w:rPr>
                <w:rFonts w:ascii="Times New Roman" w:hAnsi="Times New Roman" w:cs="Times New Roman"/>
                <w:b/>
                <w:color w:val="000000" w:themeColor="text1"/>
                <w:lang w:val="ro-RO"/>
              </w:rPr>
            </w:pPr>
          </w:p>
        </w:tc>
      </w:tr>
      <w:tr w:rsidR="002D5F92" w:rsidRPr="002D5F92" w14:paraId="7F2A6B92"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140E2548" w14:textId="1DE9D280" w:rsidR="002D5F92" w:rsidRPr="002D5F92" w:rsidRDefault="002D5F92" w:rsidP="002D5F92">
            <w:pPr>
              <w:spacing w:line="276" w:lineRule="auto"/>
              <w:rPr>
                <w:rFonts w:ascii="Times New Roman" w:hAnsi="Times New Roman" w:cs="Times New Roman"/>
                <w:color w:val="000000" w:themeColor="text1"/>
                <w:lang w:val="ro-RO"/>
              </w:rPr>
            </w:pPr>
            <w:r w:rsidRPr="002D5F92">
              <w:rPr>
                <w:rFonts w:ascii="Times New Roman" w:hAnsi="Times New Roman" w:cs="Times New Roman"/>
                <w:color w:val="000000" w:themeColor="text1"/>
                <w:lang w:val="ro-RO"/>
              </w:rPr>
              <w:t xml:space="preserve">(1)Tranzacțiile cu instrumente financiare derivate ale unei instituții sunt considerate semnificative în sensul articolului 423 alineatul (3) primul paragraf din Regulamentul (UE) nr. 575/2013 dacă suma valorilor noționale ale acestor tranzacții a depășit 10 % din ieșirile de lichidități nete, astfel cum sunt menționate la articolul 412 alineatul (1) din Regulamentul (UE) nr. 575/2013, în orice moment în ultimii doi ani. </w:t>
            </w:r>
          </w:p>
        </w:tc>
        <w:tc>
          <w:tcPr>
            <w:tcW w:w="1538" w:type="pct"/>
          </w:tcPr>
          <w:p w14:paraId="0EE9B1EC" w14:textId="48F83F44" w:rsidR="002D5F92" w:rsidRPr="002D5F92" w:rsidRDefault="00E00F2C" w:rsidP="002D5F92">
            <w:pPr>
              <w:spacing w:after="0" w:line="240" w:lineRule="auto"/>
              <w:rPr>
                <w:rFonts w:ascii="Times New Roman" w:hAnsi="Times New Roman" w:cs="Times New Roman"/>
                <w:bCs/>
                <w:color w:val="000000" w:themeColor="text1"/>
                <w:lang w:val="ro-RO"/>
              </w:rPr>
            </w:pPr>
            <w:r>
              <w:rPr>
                <w:rFonts w:ascii="Times New Roman" w:hAnsi="Times New Roman" w:cs="Times New Roman"/>
                <w:b/>
                <w:bCs/>
                <w:color w:val="000000" w:themeColor="text1"/>
                <w:lang w:val="ro-RO"/>
              </w:rPr>
              <w:t>8</w:t>
            </w:r>
            <w:r w:rsidR="002D5F92" w:rsidRPr="002D5F92">
              <w:rPr>
                <w:rFonts w:ascii="Times New Roman" w:hAnsi="Times New Roman" w:cs="Times New Roman"/>
                <w:b/>
                <w:bCs/>
                <w:color w:val="000000" w:themeColor="text1"/>
                <w:lang w:val="ro-RO"/>
              </w:rPr>
              <w:t>0.</w:t>
            </w:r>
            <w:r w:rsidR="002D5F92" w:rsidRPr="002D5F92">
              <w:rPr>
                <w:rFonts w:ascii="Times New Roman" w:hAnsi="Times New Roman" w:cs="Times New Roman"/>
                <w:bCs/>
                <w:color w:val="000000" w:themeColor="text1"/>
                <w:lang w:val="ro-RO"/>
              </w:rPr>
              <w:t xml:space="preserve"> Banca adaugă o ieșire suplimentară corespunzătoare nevoilor de garanții reale care ar rezulta din impactul unui scenariu de piață negativ asupra tranzacțiilor cu instrumente financiare derivate ale băncii, în cazul în care acestea sunt semnificative. </w:t>
            </w:r>
          </w:p>
          <w:p w14:paraId="7DB8ED5B" w14:textId="5DE0A95C" w:rsidR="002D5F92" w:rsidRPr="009E5682" w:rsidRDefault="002D5F92" w:rsidP="003D7A19">
            <w:pPr>
              <w:spacing w:after="0" w:line="240" w:lineRule="auto"/>
              <w:rPr>
                <w:rFonts w:ascii="Times New Roman" w:hAnsi="Times New Roman" w:cs="Times New Roman"/>
                <w:color w:val="000000" w:themeColor="text1"/>
                <w:lang w:val="ro-RO"/>
              </w:rPr>
            </w:pPr>
            <w:r w:rsidRPr="002D5F92">
              <w:rPr>
                <w:rFonts w:ascii="Times New Roman" w:hAnsi="Times New Roman" w:cs="Times New Roman"/>
                <w:bCs/>
                <w:color w:val="000000" w:themeColor="text1"/>
                <w:lang w:val="ro-RO"/>
              </w:rPr>
              <w:t xml:space="preserve">Tranzacțiile cu instrumente financiare derivate ale unei bănci sunt considerate semnificative în cazul în care totalul valorilor noționale ale unor astfel de tranzacții a depășit 10% din ieșirile nete de lichidități astfel cum sunt definite la secțiunea 2, titlul I, în orice moment, în ultimii doi ani anteriori. </w:t>
            </w:r>
          </w:p>
        </w:tc>
        <w:tc>
          <w:tcPr>
            <w:tcW w:w="336" w:type="pct"/>
          </w:tcPr>
          <w:p w14:paraId="3A76B0B9" w14:textId="28445EEF" w:rsidR="002D5F92" w:rsidRPr="009E5682" w:rsidRDefault="003D7A19" w:rsidP="0086282D">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76667C00" w14:textId="77777777" w:rsidR="002D5F92" w:rsidRPr="009E5682" w:rsidRDefault="002D5F92" w:rsidP="004D784D">
            <w:pPr>
              <w:spacing w:line="276" w:lineRule="auto"/>
              <w:jc w:val="both"/>
              <w:rPr>
                <w:rFonts w:ascii="Times New Roman" w:hAnsi="Times New Roman" w:cs="Times New Roman"/>
                <w:color w:val="000000" w:themeColor="text1"/>
                <w:lang w:val="ro-RO"/>
              </w:rPr>
            </w:pPr>
          </w:p>
        </w:tc>
        <w:tc>
          <w:tcPr>
            <w:tcW w:w="384" w:type="pct"/>
          </w:tcPr>
          <w:p w14:paraId="54B00130" w14:textId="77777777" w:rsidR="002D5F92" w:rsidRPr="009E5682" w:rsidRDefault="002D5F92" w:rsidP="0086282D">
            <w:pPr>
              <w:spacing w:line="276" w:lineRule="auto"/>
              <w:jc w:val="both"/>
              <w:rPr>
                <w:rFonts w:ascii="Times New Roman" w:hAnsi="Times New Roman" w:cs="Times New Roman"/>
                <w:color w:val="000000" w:themeColor="text1"/>
                <w:lang w:val="ro-RO"/>
              </w:rPr>
            </w:pPr>
          </w:p>
        </w:tc>
      </w:tr>
      <w:tr w:rsidR="009E5682" w:rsidRPr="002D5F92" w14:paraId="6DCA4C0A"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7A1F2DB2" w14:textId="2171A487" w:rsidR="00356784" w:rsidRPr="009E5682" w:rsidRDefault="002D5F92" w:rsidP="008014AB">
            <w:pPr>
              <w:spacing w:line="276" w:lineRule="auto"/>
              <w:rPr>
                <w:rFonts w:ascii="Times New Roman" w:hAnsi="Times New Roman" w:cs="Times New Roman"/>
                <w:color w:val="000000" w:themeColor="text1"/>
                <w:lang w:val="ro-RO"/>
              </w:rPr>
            </w:pPr>
            <w:r w:rsidRPr="002D5F92">
              <w:rPr>
                <w:rFonts w:ascii="Times New Roman" w:hAnsi="Times New Roman" w:cs="Times New Roman"/>
                <w:color w:val="000000" w:themeColor="text1"/>
                <w:lang w:val="ro-RO"/>
              </w:rPr>
              <w:t>(2)În sensul alineatului (1), ieșirile de lichidități nete se calculează fără componenta ieșirilor suplimentare menționată la articolul 423 alineatul (3) primul paragraf din Regulamentul (UE) nr. 575/2013.</w:t>
            </w:r>
          </w:p>
        </w:tc>
        <w:tc>
          <w:tcPr>
            <w:tcW w:w="1538" w:type="pct"/>
          </w:tcPr>
          <w:p w14:paraId="3BEABBD6" w14:textId="77777777" w:rsidR="003D7A19" w:rsidRPr="003D7A19" w:rsidRDefault="003D7A19" w:rsidP="003D7A19">
            <w:pPr>
              <w:spacing w:after="0" w:line="240" w:lineRule="auto"/>
              <w:rPr>
                <w:rFonts w:ascii="Times New Roman" w:hAnsi="Times New Roman" w:cs="Times New Roman"/>
                <w:b/>
                <w:bCs/>
                <w:color w:val="000000" w:themeColor="text1"/>
                <w:lang w:val="ro-RO"/>
              </w:rPr>
            </w:pPr>
            <w:r w:rsidRPr="003D7A19">
              <w:rPr>
                <w:rFonts w:ascii="Times New Roman" w:hAnsi="Times New Roman" w:cs="Times New Roman"/>
                <w:bCs/>
                <w:color w:val="000000" w:themeColor="text1"/>
                <w:lang w:val="ro-RO"/>
              </w:rPr>
              <w:t>Pentru scopurile prezentului punct ieșirile nete de lichidități (definite la secțiunea 2, titlul I)</w:t>
            </w:r>
            <w:r w:rsidRPr="003D7A19" w:rsidDel="00EC4457">
              <w:rPr>
                <w:rFonts w:ascii="Times New Roman" w:hAnsi="Times New Roman" w:cs="Times New Roman"/>
                <w:bCs/>
                <w:color w:val="000000" w:themeColor="text1"/>
                <w:lang w:val="ro-RO"/>
              </w:rPr>
              <w:t xml:space="preserve"> </w:t>
            </w:r>
            <w:r w:rsidRPr="003D7A19">
              <w:rPr>
                <w:rFonts w:ascii="Times New Roman" w:hAnsi="Times New Roman" w:cs="Times New Roman"/>
                <w:bCs/>
                <w:color w:val="000000" w:themeColor="text1"/>
                <w:lang w:val="ro-RO"/>
              </w:rPr>
              <w:t>nu includ ieșirile suplimentare de la următorul alineat</w:t>
            </w:r>
            <w:r w:rsidRPr="003D7A19">
              <w:rPr>
                <w:rFonts w:ascii="Times New Roman" w:hAnsi="Times New Roman" w:cs="Times New Roman"/>
                <w:b/>
                <w:bCs/>
                <w:color w:val="000000" w:themeColor="text1"/>
                <w:lang w:val="ro-RO"/>
              </w:rPr>
              <w:t>.</w:t>
            </w:r>
          </w:p>
          <w:p w14:paraId="56DB5B7F" w14:textId="77777777" w:rsidR="00356784" w:rsidRPr="009E5682" w:rsidRDefault="00356784" w:rsidP="003D7A19">
            <w:pPr>
              <w:spacing w:after="0" w:line="240" w:lineRule="auto"/>
              <w:rPr>
                <w:rFonts w:ascii="Times New Roman" w:hAnsi="Times New Roman" w:cs="Times New Roman"/>
                <w:color w:val="000000" w:themeColor="text1"/>
                <w:lang w:val="ro-RO"/>
              </w:rPr>
            </w:pPr>
          </w:p>
        </w:tc>
        <w:tc>
          <w:tcPr>
            <w:tcW w:w="336" w:type="pct"/>
          </w:tcPr>
          <w:p w14:paraId="3851FBFE" w14:textId="5D0D4B6A" w:rsidR="00356784" w:rsidRPr="009E5682" w:rsidRDefault="00356784" w:rsidP="0086282D">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3C3D057B" w14:textId="23487C85" w:rsidR="00356784" w:rsidRPr="009E5682" w:rsidRDefault="00356784" w:rsidP="004D784D">
            <w:pPr>
              <w:spacing w:line="276" w:lineRule="auto"/>
              <w:jc w:val="both"/>
              <w:rPr>
                <w:rFonts w:ascii="Times New Roman" w:hAnsi="Times New Roman" w:cs="Times New Roman"/>
                <w:color w:val="000000" w:themeColor="text1"/>
                <w:lang w:val="ro-RO"/>
              </w:rPr>
            </w:pPr>
          </w:p>
        </w:tc>
        <w:tc>
          <w:tcPr>
            <w:tcW w:w="384" w:type="pct"/>
          </w:tcPr>
          <w:p w14:paraId="0C082118" w14:textId="77777777" w:rsidR="00356784" w:rsidRPr="009E5682" w:rsidRDefault="00356784" w:rsidP="0086282D">
            <w:pPr>
              <w:spacing w:line="276" w:lineRule="auto"/>
              <w:jc w:val="both"/>
              <w:rPr>
                <w:rFonts w:ascii="Times New Roman" w:hAnsi="Times New Roman" w:cs="Times New Roman"/>
                <w:color w:val="000000" w:themeColor="text1"/>
                <w:lang w:val="ro-RO"/>
              </w:rPr>
            </w:pPr>
          </w:p>
        </w:tc>
      </w:tr>
      <w:tr w:rsidR="009E5682" w:rsidRPr="001742B3" w14:paraId="01254F36"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35B23BC1" w14:textId="02C24270" w:rsidR="00356784" w:rsidRPr="009E5682" w:rsidRDefault="00356784" w:rsidP="008014AB">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 xml:space="preserve">Articolul 2. </w:t>
            </w:r>
            <w:r w:rsidR="002D5F92" w:rsidRPr="002D5F92">
              <w:rPr>
                <w:rFonts w:ascii="Times New Roman" w:hAnsi="Times New Roman" w:cs="Times New Roman"/>
                <w:b/>
                <w:color w:val="000000" w:themeColor="text1"/>
                <w:lang w:val="ro-RO"/>
              </w:rPr>
              <w:t xml:space="preserve">Calcularea ieșirilor suplimentare care corespund nevoilor de garanții reale rezultate din impactul unui scenariu de piață negativ asupra </w:t>
            </w:r>
            <w:r w:rsidR="002D5F92" w:rsidRPr="002D5F92">
              <w:rPr>
                <w:rFonts w:ascii="Times New Roman" w:hAnsi="Times New Roman" w:cs="Times New Roman"/>
                <w:b/>
                <w:color w:val="000000" w:themeColor="text1"/>
                <w:lang w:val="ro-RO"/>
              </w:rPr>
              <w:lastRenderedPageBreak/>
              <w:t>tranzacțiilor cu instrumente financiare derivate ale unei instituții</w:t>
            </w:r>
          </w:p>
        </w:tc>
        <w:tc>
          <w:tcPr>
            <w:tcW w:w="1538" w:type="pct"/>
          </w:tcPr>
          <w:p w14:paraId="6D7204F6" w14:textId="717B8273" w:rsidR="00356784" w:rsidRPr="009E5682" w:rsidRDefault="00356784" w:rsidP="00592357">
            <w:pPr>
              <w:spacing w:line="276" w:lineRule="auto"/>
              <w:rPr>
                <w:rFonts w:ascii="Times New Roman" w:hAnsi="Times New Roman" w:cs="Times New Roman"/>
                <w:b/>
                <w:color w:val="000000" w:themeColor="text1"/>
                <w:lang w:val="ro-RO"/>
              </w:rPr>
            </w:pPr>
          </w:p>
        </w:tc>
        <w:tc>
          <w:tcPr>
            <w:tcW w:w="336" w:type="pct"/>
          </w:tcPr>
          <w:p w14:paraId="4A353C5D"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1010" w:type="pct"/>
          </w:tcPr>
          <w:p w14:paraId="7759A44F"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384" w:type="pct"/>
          </w:tcPr>
          <w:p w14:paraId="45015373" w14:textId="77777777" w:rsidR="00356784" w:rsidRPr="009E5682" w:rsidRDefault="00356784" w:rsidP="0022135F">
            <w:pPr>
              <w:spacing w:line="276" w:lineRule="auto"/>
              <w:rPr>
                <w:rFonts w:ascii="Times New Roman" w:hAnsi="Times New Roman" w:cs="Times New Roman"/>
                <w:b/>
                <w:color w:val="000000" w:themeColor="text1"/>
                <w:lang w:val="ro-RO"/>
              </w:rPr>
            </w:pPr>
          </w:p>
        </w:tc>
      </w:tr>
      <w:tr w:rsidR="009E5682" w:rsidRPr="002D5F92" w14:paraId="2C7D08FC"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40AAAF9F" w14:textId="494E321C" w:rsidR="00356784" w:rsidRPr="002D5F92" w:rsidRDefault="002D5F92" w:rsidP="008014AB">
            <w:pPr>
              <w:spacing w:line="276" w:lineRule="auto"/>
              <w:rPr>
                <w:rFonts w:ascii="Times New Roman" w:hAnsi="Times New Roman" w:cs="Times New Roman"/>
                <w:bCs/>
                <w:color w:val="000000" w:themeColor="text1"/>
                <w:lang w:val="ro-RO"/>
              </w:rPr>
            </w:pPr>
            <w:r w:rsidRPr="002D5F92">
              <w:rPr>
                <w:rFonts w:ascii="Times New Roman" w:hAnsi="Times New Roman" w:cs="Times New Roman"/>
                <w:bCs/>
                <w:color w:val="000000" w:themeColor="text1"/>
                <w:lang w:val="ro-RO"/>
              </w:rPr>
              <w:t>(1)</w:t>
            </w:r>
            <w:r>
              <w:rPr>
                <w:rFonts w:ascii="Times New Roman" w:hAnsi="Times New Roman" w:cs="Times New Roman"/>
                <w:bCs/>
                <w:color w:val="000000" w:themeColor="text1"/>
                <w:lang w:val="ro-RO"/>
              </w:rPr>
              <w:t xml:space="preserve"> </w:t>
            </w:r>
            <w:r w:rsidRPr="002D5F92">
              <w:rPr>
                <w:rFonts w:ascii="Times New Roman" w:hAnsi="Times New Roman" w:cs="Times New Roman"/>
                <w:bCs/>
                <w:color w:val="000000" w:themeColor="text1"/>
                <w:lang w:val="ro-RO"/>
              </w:rPr>
              <w:t>Ieșirile suplimentare care corespund nevoilor de garanții reale rezultate din impactul unui scenariu de piață negativ asupra tranzacțiilor cu instrumente financiare derivate ale unei instituții considerate semnificative în sensul articolului 1 din prezentul regulament sunt egale cu cel mai mare flux de garanții în valoare netă absolută pe 30 de zile realizat într-o perioadă de 24 de luni înainte de data calculării cerinței de acoperire a necesarului de lichiditate menționate la articolul 412 alineatul (1) din Regulamentul (UE) nr. 575/2013.</w:t>
            </w:r>
          </w:p>
        </w:tc>
        <w:tc>
          <w:tcPr>
            <w:tcW w:w="1538" w:type="pct"/>
          </w:tcPr>
          <w:p w14:paraId="413EBDEE" w14:textId="67C23911" w:rsidR="00356784" w:rsidRPr="009E5682" w:rsidRDefault="003D7A19" w:rsidP="00C83BE5">
            <w:pPr>
              <w:spacing w:after="0" w:line="240" w:lineRule="auto"/>
              <w:rPr>
                <w:rFonts w:ascii="Times New Roman" w:hAnsi="Times New Roman" w:cs="Times New Roman"/>
                <w:color w:val="000000" w:themeColor="text1"/>
                <w:lang w:val="ro-RO"/>
              </w:rPr>
            </w:pPr>
            <w:r w:rsidRPr="003D7A19">
              <w:rPr>
                <w:rFonts w:ascii="Times New Roman" w:hAnsi="Times New Roman" w:cs="Times New Roman"/>
                <w:color w:val="000000" w:themeColor="text1"/>
                <w:lang w:val="ro-RO"/>
              </w:rPr>
              <w:t>Ieșirea suplimentară este cel mai mare flux absolut net într-un interval de 30 de zile corespunzător garanțiilor reale realizat pe parcursul ultimelor 24 luni înainte de data calculării cerinței de acoperire a necesarului de lichiditate menționate la secțiunea 3, titlul I..”</w:t>
            </w:r>
          </w:p>
        </w:tc>
        <w:tc>
          <w:tcPr>
            <w:tcW w:w="336" w:type="pct"/>
          </w:tcPr>
          <w:p w14:paraId="1F09347F" w14:textId="73EEFA2A" w:rsidR="00356784" w:rsidRPr="009E5682" w:rsidRDefault="00356784" w:rsidP="0086282D">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3F2FA83B" w14:textId="73A5A573" w:rsidR="00356784" w:rsidRPr="009E5682" w:rsidRDefault="00356784" w:rsidP="004D784D">
            <w:pPr>
              <w:spacing w:line="276" w:lineRule="auto"/>
              <w:jc w:val="both"/>
              <w:rPr>
                <w:rFonts w:ascii="Times New Roman" w:hAnsi="Times New Roman" w:cs="Times New Roman"/>
                <w:color w:val="000000" w:themeColor="text1"/>
                <w:lang w:val="ro-RO"/>
              </w:rPr>
            </w:pPr>
          </w:p>
        </w:tc>
        <w:tc>
          <w:tcPr>
            <w:tcW w:w="384" w:type="pct"/>
          </w:tcPr>
          <w:p w14:paraId="2255ACD6" w14:textId="77777777" w:rsidR="00356784" w:rsidRPr="009E5682" w:rsidRDefault="00356784" w:rsidP="0086282D">
            <w:pPr>
              <w:spacing w:line="276" w:lineRule="auto"/>
              <w:jc w:val="both"/>
              <w:rPr>
                <w:rFonts w:ascii="Times New Roman" w:hAnsi="Times New Roman" w:cs="Times New Roman"/>
                <w:color w:val="000000" w:themeColor="text1"/>
                <w:lang w:val="ro-RO"/>
              </w:rPr>
            </w:pPr>
          </w:p>
        </w:tc>
      </w:tr>
      <w:tr w:rsidR="009E5682" w:rsidRPr="002D5F92" w14:paraId="6DC6C7B1"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5C151309" w14:textId="553B15BB" w:rsidR="00356784" w:rsidRPr="009E5682" w:rsidRDefault="00356784" w:rsidP="004D784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 </w:t>
            </w:r>
            <w:r w:rsidR="002D5F92" w:rsidRPr="002D5F92">
              <w:rPr>
                <w:rFonts w:ascii="Times New Roman" w:hAnsi="Times New Roman" w:cs="Times New Roman"/>
                <w:color w:val="000000" w:themeColor="text1"/>
                <w:lang w:val="ro-RO"/>
              </w:rPr>
              <w:t>(2)Instituțiile pot lua în considerare valoarea netă a intrărilor și ieșirilor aferente tranzacțiilor numai dacă acestea sunt executate în conformitate cu același acordcadru de compensare. Valoarea netă absolută a fluxului de garanții are la bază atât ieșirile realizate, cât și intrările realizate, iar compensarea se calculează la nivelul portofoliului instituției.</w:t>
            </w:r>
          </w:p>
        </w:tc>
        <w:tc>
          <w:tcPr>
            <w:tcW w:w="1538" w:type="pct"/>
          </w:tcPr>
          <w:p w14:paraId="14BD2612" w14:textId="703D55C4" w:rsidR="00356784" w:rsidRPr="009E5682" w:rsidRDefault="003D7A19" w:rsidP="0068700A">
            <w:pPr>
              <w:spacing w:line="276" w:lineRule="auto"/>
              <w:rPr>
                <w:rFonts w:ascii="Times New Roman" w:hAnsi="Times New Roman" w:cs="Times New Roman"/>
                <w:color w:val="000000" w:themeColor="text1"/>
                <w:lang w:val="ro-RO"/>
              </w:rPr>
            </w:pPr>
            <w:r w:rsidRPr="003D7A19">
              <w:rPr>
                <w:rFonts w:ascii="Times New Roman" w:hAnsi="Times New Roman" w:cs="Times New Roman"/>
                <w:color w:val="000000" w:themeColor="text1"/>
                <w:lang w:val="ro-RO"/>
              </w:rPr>
              <w:t>Băncile pot lua în calcul intrările și ieșirile tranzacțiilor cu instrumente financiare derivate pe o bază netă doar în cazul în care acestea sunt efectuate în cadrul aceluiași acord-cadru de compensare. Fluxul absolut net corespunzător garanțiilor reale se bazează atât pe ieșirile cât și pe intrările efectuate și se calculează la nivelul portofoliului băncii</w:t>
            </w:r>
          </w:p>
        </w:tc>
        <w:tc>
          <w:tcPr>
            <w:tcW w:w="336" w:type="pct"/>
          </w:tcPr>
          <w:p w14:paraId="376A2F85" w14:textId="519C6428" w:rsidR="00356784" w:rsidRPr="009E5682" w:rsidRDefault="00356784" w:rsidP="0086282D">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7FADD6E2" w14:textId="34C922CA" w:rsidR="00356784" w:rsidRPr="009E5682" w:rsidRDefault="00356784" w:rsidP="00973101">
            <w:pPr>
              <w:spacing w:line="276" w:lineRule="auto"/>
              <w:jc w:val="both"/>
              <w:rPr>
                <w:rFonts w:ascii="Times New Roman" w:hAnsi="Times New Roman" w:cs="Times New Roman"/>
                <w:color w:val="000000" w:themeColor="text1"/>
                <w:lang w:val="ro-RO"/>
              </w:rPr>
            </w:pPr>
          </w:p>
        </w:tc>
        <w:tc>
          <w:tcPr>
            <w:tcW w:w="384" w:type="pct"/>
          </w:tcPr>
          <w:p w14:paraId="4B198693" w14:textId="77777777" w:rsidR="00356784" w:rsidRPr="009E5682" w:rsidRDefault="00356784" w:rsidP="0086282D">
            <w:pPr>
              <w:spacing w:line="276" w:lineRule="auto"/>
              <w:jc w:val="both"/>
              <w:rPr>
                <w:rFonts w:ascii="Times New Roman" w:hAnsi="Times New Roman" w:cs="Times New Roman"/>
                <w:color w:val="000000" w:themeColor="text1"/>
                <w:lang w:val="ro-RO"/>
              </w:rPr>
            </w:pPr>
          </w:p>
        </w:tc>
      </w:tr>
    </w:tbl>
    <w:p w14:paraId="382BAAED" w14:textId="77777777" w:rsidR="00CC29F9" w:rsidRPr="009E5682" w:rsidRDefault="00CC29F9" w:rsidP="00EC4D4B">
      <w:pPr>
        <w:spacing w:line="276" w:lineRule="auto"/>
        <w:jc w:val="both"/>
        <w:rPr>
          <w:rFonts w:ascii="Times New Roman" w:hAnsi="Times New Roman" w:cs="Times New Roman"/>
          <w:color w:val="000000" w:themeColor="text1"/>
          <w:lang w:val="ro-RO"/>
        </w:rPr>
      </w:pPr>
    </w:p>
    <w:sectPr w:rsidR="00CC29F9" w:rsidRPr="009E5682" w:rsidSect="001352E5">
      <w:headerReference w:type="even" r:id="rId11"/>
      <w:headerReference w:type="default" r:id="rId12"/>
      <w:footerReference w:type="even" r:id="rId13"/>
      <w:footerReference w:type="default" r:id="rId14"/>
      <w:pgSz w:w="15840" w:h="12240"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F235F" w14:textId="77777777" w:rsidR="003E0846" w:rsidRDefault="003E0846" w:rsidP="00695134">
      <w:pPr>
        <w:spacing w:after="0" w:line="240" w:lineRule="auto"/>
      </w:pPr>
      <w:r>
        <w:separator/>
      </w:r>
    </w:p>
  </w:endnote>
  <w:endnote w:type="continuationSeparator" w:id="0">
    <w:p w14:paraId="0310321B" w14:textId="77777777" w:rsidR="003E0846" w:rsidRDefault="003E0846" w:rsidP="00695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PermianSansTypeface">
    <w:panose1 w:val="02000000000000000000"/>
    <w:charset w:val="00"/>
    <w:family w:val="modern"/>
    <w:notTrueType/>
    <w:pitch w:val="variable"/>
    <w:sig w:usb0="A000022F" w:usb1="4000A07A" w:usb2="00000000" w:usb3="00000000" w:csb0="0000000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4DC6A" w14:textId="77777777" w:rsidR="00591E10" w:rsidRDefault="00591E10" w:rsidP="00FE5D04">
    <w:pPr>
      <w:pStyle w:val="Footer"/>
      <w:jc w:val="center"/>
      <w:rPr>
        <w:rFonts w:ascii="PermianSansTypeface" w:hAnsi="PermianSansTypeface"/>
        <w:b/>
        <w:color w:val="000000"/>
        <w:sz w:val="16"/>
      </w:rPr>
    </w:pPr>
    <w:bookmarkStart w:id="3" w:name="TITUS1FooterEvenPages"/>
    <w:r>
      <w:rPr>
        <w:rFonts w:ascii="PermianSansTypeface" w:hAnsi="PermianSansTypeface"/>
        <w:b/>
        <w:color w:val="000000"/>
        <w:sz w:val="16"/>
      </w:rPr>
      <w:t xml:space="preserve"> </w:t>
    </w:r>
  </w:p>
  <w:p w14:paraId="7988CDA8" w14:textId="77777777" w:rsidR="00591E10" w:rsidRDefault="00591E10" w:rsidP="00FE5D04">
    <w:pPr>
      <w:pStyle w:val="Footer"/>
      <w:rPr>
        <w:rFonts w:ascii="PermianSansTypeface" w:hAnsi="PermianSansTypeface"/>
        <w:b/>
        <w:color w:val="000000"/>
        <w:sz w:val="16"/>
      </w:rPr>
    </w:pPr>
    <w:r>
      <w:rPr>
        <w:rFonts w:ascii="PermianSansTypeface" w:hAnsi="PermianSansTypeface"/>
        <w:b/>
        <w:color w:val="000000"/>
        <w:sz w:val="16"/>
      </w:rPr>
      <w:t xml:space="preserve"> </w:t>
    </w:r>
  </w:p>
  <w:bookmarkEnd w:id="3" w:displacedByCustomXml="next"/>
  <w:sdt>
    <w:sdtPr>
      <w:id w:val="2057124353"/>
      <w:docPartObj>
        <w:docPartGallery w:val="Page Numbers (Bottom of Page)"/>
        <w:docPartUnique/>
      </w:docPartObj>
    </w:sdtPr>
    <w:sdtEndPr>
      <w:rPr>
        <w:noProof/>
      </w:rPr>
    </w:sdtEndPr>
    <w:sdtContent>
      <w:p w14:paraId="1046AFAE" w14:textId="4785135B" w:rsidR="00591E10" w:rsidRDefault="00591E10" w:rsidP="001352E5">
        <w:pPr>
          <w:pStyle w:val="Footer"/>
          <w:jc w:val="right"/>
        </w:pPr>
        <w:r>
          <w:fldChar w:fldCharType="begin"/>
        </w:r>
        <w:r>
          <w:instrText xml:space="preserve"> PAGE   \* MERGEFORMAT </w:instrText>
        </w:r>
        <w:r>
          <w:fldChar w:fldCharType="separate"/>
        </w:r>
        <w:r w:rsidR="00E705D8">
          <w:rPr>
            <w:noProof/>
          </w:rPr>
          <w:t>2</w:t>
        </w:r>
        <w:r>
          <w:rPr>
            <w:noProof/>
          </w:rPr>
          <w:fldChar w:fldCharType="end"/>
        </w:r>
      </w:p>
    </w:sdtContent>
  </w:sdt>
  <w:p w14:paraId="3F765C14" w14:textId="77777777" w:rsidR="00591E10" w:rsidRDefault="00591E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A9162" w14:textId="77777777" w:rsidR="00591E10" w:rsidRDefault="00591E10" w:rsidP="00FE5D04">
    <w:pPr>
      <w:pStyle w:val="Footer"/>
      <w:jc w:val="center"/>
      <w:rPr>
        <w:rFonts w:ascii="PermianSansTypeface" w:hAnsi="PermianSansTypeface"/>
        <w:b/>
        <w:color w:val="000000"/>
        <w:sz w:val="16"/>
      </w:rPr>
    </w:pPr>
    <w:bookmarkStart w:id="4" w:name="TITUS1FooterPrimary"/>
    <w:r>
      <w:rPr>
        <w:rFonts w:ascii="PermianSansTypeface" w:hAnsi="PermianSansTypeface"/>
        <w:b/>
        <w:color w:val="000000"/>
        <w:sz w:val="16"/>
      </w:rPr>
      <w:t xml:space="preserve"> </w:t>
    </w:r>
  </w:p>
  <w:p w14:paraId="3608286E" w14:textId="77777777" w:rsidR="00591E10" w:rsidRDefault="00591E10" w:rsidP="00FE5D04">
    <w:pPr>
      <w:pStyle w:val="Footer"/>
      <w:rPr>
        <w:rFonts w:ascii="PermianSansTypeface" w:hAnsi="PermianSansTypeface"/>
        <w:b/>
        <w:color w:val="000000"/>
        <w:sz w:val="16"/>
      </w:rPr>
    </w:pPr>
    <w:r>
      <w:rPr>
        <w:rFonts w:ascii="PermianSansTypeface" w:hAnsi="PermianSansTypeface"/>
        <w:b/>
        <w:color w:val="000000"/>
        <w:sz w:val="16"/>
      </w:rPr>
      <w:t xml:space="preserve"> </w:t>
    </w:r>
  </w:p>
  <w:bookmarkEnd w:id="4" w:displacedByCustomXml="next"/>
  <w:sdt>
    <w:sdtPr>
      <w:id w:val="804429349"/>
      <w:docPartObj>
        <w:docPartGallery w:val="Page Numbers (Bottom of Page)"/>
        <w:docPartUnique/>
      </w:docPartObj>
    </w:sdtPr>
    <w:sdtEndPr>
      <w:rPr>
        <w:noProof/>
      </w:rPr>
    </w:sdtEndPr>
    <w:sdtContent>
      <w:p w14:paraId="7203D6E7" w14:textId="57896B0C" w:rsidR="00591E10" w:rsidRDefault="00591E10">
        <w:pPr>
          <w:pStyle w:val="Footer"/>
          <w:jc w:val="right"/>
        </w:pPr>
        <w:r>
          <w:fldChar w:fldCharType="begin"/>
        </w:r>
        <w:r>
          <w:instrText xml:space="preserve"> PAGE   \* MERGEFORMAT </w:instrText>
        </w:r>
        <w:r>
          <w:fldChar w:fldCharType="separate"/>
        </w:r>
        <w:r w:rsidR="00E705D8">
          <w:rPr>
            <w:noProof/>
          </w:rPr>
          <w:t>1</w:t>
        </w:r>
        <w:r>
          <w:rPr>
            <w:noProof/>
          </w:rPr>
          <w:fldChar w:fldCharType="end"/>
        </w:r>
      </w:p>
    </w:sdtContent>
  </w:sdt>
  <w:p w14:paraId="18585F0C" w14:textId="77777777" w:rsidR="00591E10" w:rsidRDefault="00591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6A937" w14:textId="77777777" w:rsidR="003E0846" w:rsidRDefault="003E0846" w:rsidP="00695134">
      <w:pPr>
        <w:spacing w:after="0" w:line="240" w:lineRule="auto"/>
      </w:pPr>
      <w:r>
        <w:separator/>
      </w:r>
    </w:p>
  </w:footnote>
  <w:footnote w:type="continuationSeparator" w:id="0">
    <w:p w14:paraId="6B3A0E58" w14:textId="77777777" w:rsidR="003E0846" w:rsidRDefault="003E0846" w:rsidP="00695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1BCA7" w14:textId="77777777" w:rsidR="00591E10" w:rsidRDefault="00591E10" w:rsidP="00FE5D04">
    <w:pPr>
      <w:pStyle w:val="Header"/>
      <w:jc w:val="right"/>
      <w:rPr>
        <w:rFonts w:ascii="PermianSansTypeface" w:hAnsi="PermianSansTypeface"/>
        <w:b/>
        <w:color w:val="000000"/>
        <w:sz w:val="24"/>
      </w:rPr>
    </w:pPr>
    <w:bookmarkStart w:id="1" w:name="TITUS1HeaderEvenPages"/>
    <w:r>
      <w:rPr>
        <w:rFonts w:ascii="PermianSansTypeface" w:hAnsi="PermianSansTypeface"/>
        <w:b/>
        <w:color w:val="000000"/>
        <w:sz w:val="24"/>
      </w:rPr>
      <w:t xml:space="preserve"> </w:t>
    </w:r>
  </w:p>
  <w:bookmarkEnd w:id="1"/>
  <w:p w14:paraId="08FF13A2" w14:textId="77777777" w:rsidR="00591E10" w:rsidRDefault="00591E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7253F" w14:textId="77777777" w:rsidR="00591E10" w:rsidRDefault="00591E10" w:rsidP="00FE5D04">
    <w:pPr>
      <w:pStyle w:val="Header"/>
      <w:jc w:val="right"/>
      <w:rPr>
        <w:rFonts w:ascii="PermianSansTypeface" w:hAnsi="PermianSansTypeface"/>
        <w:b/>
        <w:color w:val="000000"/>
        <w:sz w:val="24"/>
      </w:rPr>
    </w:pPr>
    <w:bookmarkStart w:id="2" w:name="TITUS1HeaderPrimary"/>
    <w:r>
      <w:rPr>
        <w:rFonts w:ascii="PermianSansTypeface" w:hAnsi="PermianSansTypeface"/>
        <w:b/>
        <w:color w:val="000000"/>
        <w:sz w:val="24"/>
      </w:rPr>
      <w:t xml:space="preserve"> </w:t>
    </w:r>
  </w:p>
  <w:bookmarkEnd w:id="2"/>
  <w:p w14:paraId="5E1CA6D2" w14:textId="77777777" w:rsidR="00591E10" w:rsidRDefault="00591E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54DB9"/>
    <w:multiLevelType w:val="hybridMultilevel"/>
    <w:tmpl w:val="97AC2F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49773B"/>
    <w:multiLevelType w:val="hybridMultilevel"/>
    <w:tmpl w:val="A28433D4"/>
    <w:lvl w:ilvl="0" w:tplc="C786FA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214379"/>
    <w:multiLevelType w:val="hybridMultilevel"/>
    <w:tmpl w:val="5A0025EA"/>
    <w:lvl w:ilvl="0" w:tplc="9F9222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6F300A"/>
    <w:multiLevelType w:val="hybridMultilevel"/>
    <w:tmpl w:val="B982516C"/>
    <w:lvl w:ilvl="0" w:tplc="7048D59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C023DA"/>
    <w:multiLevelType w:val="hybridMultilevel"/>
    <w:tmpl w:val="76EE2C18"/>
    <w:lvl w:ilvl="0" w:tplc="7116CC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1F7C19"/>
    <w:multiLevelType w:val="hybridMultilevel"/>
    <w:tmpl w:val="3AC87E02"/>
    <w:lvl w:ilvl="0" w:tplc="FE5CB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8F56D9"/>
    <w:multiLevelType w:val="hybridMultilevel"/>
    <w:tmpl w:val="64A0D5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FA3EBA"/>
    <w:multiLevelType w:val="hybridMultilevel"/>
    <w:tmpl w:val="30E89DC6"/>
    <w:lvl w:ilvl="0" w:tplc="08CA9CC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ED15A8"/>
    <w:multiLevelType w:val="hybridMultilevel"/>
    <w:tmpl w:val="7A0EE54C"/>
    <w:lvl w:ilvl="0" w:tplc="85AECFAC">
      <w:start w:val="1"/>
      <w:numFmt w:val="decimal"/>
      <w:lvlText w:val="%1."/>
      <w:lvlJc w:val="left"/>
      <w:pPr>
        <w:ind w:left="107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900248"/>
    <w:multiLevelType w:val="hybridMultilevel"/>
    <w:tmpl w:val="3D984B68"/>
    <w:lvl w:ilvl="0" w:tplc="82F09A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0C720C"/>
    <w:multiLevelType w:val="hybridMultilevel"/>
    <w:tmpl w:val="EBC44B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1D6E7F"/>
    <w:multiLevelType w:val="hybridMultilevel"/>
    <w:tmpl w:val="10C80E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7F77D7"/>
    <w:multiLevelType w:val="hybridMultilevel"/>
    <w:tmpl w:val="EA44C9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A447A3"/>
    <w:multiLevelType w:val="hybridMultilevel"/>
    <w:tmpl w:val="EBC44B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9D15D0"/>
    <w:multiLevelType w:val="hybridMultilevel"/>
    <w:tmpl w:val="953CB2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266E3A"/>
    <w:multiLevelType w:val="hybridMultilevel"/>
    <w:tmpl w:val="A336B6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FE35DB"/>
    <w:multiLevelType w:val="hybridMultilevel"/>
    <w:tmpl w:val="1466EC94"/>
    <w:lvl w:ilvl="0" w:tplc="FD240A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5A015F"/>
    <w:multiLevelType w:val="hybridMultilevel"/>
    <w:tmpl w:val="9C5292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935773"/>
    <w:multiLevelType w:val="hybridMultilevel"/>
    <w:tmpl w:val="43B29A34"/>
    <w:lvl w:ilvl="0" w:tplc="F8F6BA6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16"/>
  </w:num>
  <w:num w:numId="4">
    <w:abstractNumId w:val="14"/>
  </w:num>
  <w:num w:numId="5">
    <w:abstractNumId w:val="8"/>
  </w:num>
  <w:num w:numId="6">
    <w:abstractNumId w:val="2"/>
  </w:num>
  <w:num w:numId="7">
    <w:abstractNumId w:val="5"/>
  </w:num>
  <w:num w:numId="8">
    <w:abstractNumId w:val="4"/>
  </w:num>
  <w:num w:numId="9">
    <w:abstractNumId w:val="9"/>
  </w:num>
  <w:num w:numId="10">
    <w:abstractNumId w:val="3"/>
  </w:num>
  <w:num w:numId="11">
    <w:abstractNumId w:val="12"/>
  </w:num>
  <w:num w:numId="12">
    <w:abstractNumId w:val="0"/>
  </w:num>
  <w:num w:numId="13">
    <w:abstractNumId w:val="7"/>
  </w:num>
  <w:num w:numId="14">
    <w:abstractNumId w:val="18"/>
  </w:num>
  <w:num w:numId="15">
    <w:abstractNumId w:val="13"/>
  </w:num>
  <w:num w:numId="16">
    <w:abstractNumId w:val="10"/>
  </w:num>
  <w:num w:numId="17">
    <w:abstractNumId w:val="6"/>
  </w:num>
  <w:num w:numId="18">
    <w:abstractNumId w:val="1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defaultTabStop w:val="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134"/>
    <w:rsid w:val="00002E4F"/>
    <w:rsid w:val="00002F3A"/>
    <w:rsid w:val="0000300D"/>
    <w:rsid w:val="0000633D"/>
    <w:rsid w:val="00010AEB"/>
    <w:rsid w:val="00011230"/>
    <w:rsid w:val="000201D6"/>
    <w:rsid w:val="0002457C"/>
    <w:rsid w:val="000247B4"/>
    <w:rsid w:val="0002540B"/>
    <w:rsid w:val="00027244"/>
    <w:rsid w:val="0003556B"/>
    <w:rsid w:val="00035D31"/>
    <w:rsid w:val="00044268"/>
    <w:rsid w:val="00044D63"/>
    <w:rsid w:val="00045C99"/>
    <w:rsid w:val="00057635"/>
    <w:rsid w:val="00062DE6"/>
    <w:rsid w:val="00073340"/>
    <w:rsid w:val="00073F8C"/>
    <w:rsid w:val="00074F4E"/>
    <w:rsid w:val="000763C0"/>
    <w:rsid w:val="00076553"/>
    <w:rsid w:val="00077F29"/>
    <w:rsid w:val="00080768"/>
    <w:rsid w:val="00082D85"/>
    <w:rsid w:val="000833B8"/>
    <w:rsid w:val="00084D6E"/>
    <w:rsid w:val="00085256"/>
    <w:rsid w:val="000862BD"/>
    <w:rsid w:val="00086BB0"/>
    <w:rsid w:val="00092B1C"/>
    <w:rsid w:val="000A2609"/>
    <w:rsid w:val="000A2C8A"/>
    <w:rsid w:val="000A5AB9"/>
    <w:rsid w:val="000B0C4B"/>
    <w:rsid w:val="000B21ED"/>
    <w:rsid w:val="000B2DDA"/>
    <w:rsid w:val="000B7360"/>
    <w:rsid w:val="000C114E"/>
    <w:rsid w:val="000C2816"/>
    <w:rsid w:val="000C3AF0"/>
    <w:rsid w:val="000C4B13"/>
    <w:rsid w:val="000C4F90"/>
    <w:rsid w:val="000D3CC3"/>
    <w:rsid w:val="000D6E8D"/>
    <w:rsid w:val="000E2499"/>
    <w:rsid w:val="000E3C59"/>
    <w:rsid w:val="000E6AEC"/>
    <w:rsid w:val="000F011A"/>
    <w:rsid w:val="001020BD"/>
    <w:rsid w:val="001116CA"/>
    <w:rsid w:val="00112A46"/>
    <w:rsid w:val="00113924"/>
    <w:rsid w:val="00117D6A"/>
    <w:rsid w:val="00123481"/>
    <w:rsid w:val="00131CA4"/>
    <w:rsid w:val="00133254"/>
    <w:rsid w:val="00134E4B"/>
    <w:rsid w:val="001352E5"/>
    <w:rsid w:val="001408EF"/>
    <w:rsid w:val="00146E5A"/>
    <w:rsid w:val="00154BFB"/>
    <w:rsid w:val="00167A79"/>
    <w:rsid w:val="00167F60"/>
    <w:rsid w:val="0017322E"/>
    <w:rsid w:val="00173489"/>
    <w:rsid w:val="001742B3"/>
    <w:rsid w:val="00175A12"/>
    <w:rsid w:val="00177197"/>
    <w:rsid w:val="001805C6"/>
    <w:rsid w:val="00180A56"/>
    <w:rsid w:val="00180B6A"/>
    <w:rsid w:val="0018106A"/>
    <w:rsid w:val="00181EFE"/>
    <w:rsid w:val="00182BC9"/>
    <w:rsid w:val="001865EB"/>
    <w:rsid w:val="00187226"/>
    <w:rsid w:val="00187B91"/>
    <w:rsid w:val="00191405"/>
    <w:rsid w:val="00193A23"/>
    <w:rsid w:val="001A0FE0"/>
    <w:rsid w:val="001B0A6C"/>
    <w:rsid w:val="001B1047"/>
    <w:rsid w:val="001B15A5"/>
    <w:rsid w:val="001B5694"/>
    <w:rsid w:val="001C3856"/>
    <w:rsid w:val="001C6825"/>
    <w:rsid w:val="001E0507"/>
    <w:rsid w:val="001E0C31"/>
    <w:rsid w:val="001E12FA"/>
    <w:rsid w:val="001E1330"/>
    <w:rsid w:val="001E2BFF"/>
    <w:rsid w:val="001E5499"/>
    <w:rsid w:val="001F020E"/>
    <w:rsid w:val="001F1341"/>
    <w:rsid w:val="001F213B"/>
    <w:rsid w:val="001F484E"/>
    <w:rsid w:val="002018F7"/>
    <w:rsid w:val="00202D28"/>
    <w:rsid w:val="00203D3F"/>
    <w:rsid w:val="002133EE"/>
    <w:rsid w:val="00213754"/>
    <w:rsid w:val="00215810"/>
    <w:rsid w:val="0022135F"/>
    <w:rsid w:val="0022504F"/>
    <w:rsid w:val="002329B9"/>
    <w:rsid w:val="00235D66"/>
    <w:rsid w:val="002400D3"/>
    <w:rsid w:val="00245E7B"/>
    <w:rsid w:val="00253F10"/>
    <w:rsid w:val="0025494D"/>
    <w:rsid w:val="00256460"/>
    <w:rsid w:val="00264D34"/>
    <w:rsid w:val="00265CE7"/>
    <w:rsid w:val="00266096"/>
    <w:rsid w:val="0027229E"/>
    <w:rsid w:val="0027280F"/>
    <w:rsid w:val="00274310"/>
    <w:rsid w:val="002832F6"/>
    <w:rsid w:val="002855EE"/>
    <w:rsid w:val="00287E4F"/>
    <w:rsid w:val="002901A0"/>
    <w:rsid w:val="002922EE"/>
    <w:rsid w:val="0029639E"/>
    <w:rsid w:val="00297583"/>
    <w:rsid w:val="002A645A"/>
    <w:rsid w:val="002A6DC4"/>
    <w:rsid w:val="002B593F"/>
    <w:rsid w:val="002B6B1B"/>
    <w:rsid w:val="002C0A0A"/>
    <w:rsid w:val="002C438D"/>
    <w:rsid w:val="002C4500"/>
    <w:rsid w:val="002C5844"/>
    <w:rsid w:val="002D18BC"/>
    <w:rsid w:val="002D1B42"/>
    <w:rsid w:val="002D40D4"/>
    <w:rsid w:val="002D4CA1"/>
    <w:rsid w:val="002D5F21"/>
    <w:rsid w:val="002D5F92"/>
    <w:rsid w:val="002D6526"/>
    <w:rsid w:val="002F7BA3"/>
    <w:rsid w:val="00302C88"/>
    <w:rsid w:val="003031C9"/>
    <w:rsid w:val="00313500"/>
    <w:rsid w:val="00315154"/>
    <w:rsid w:val="00315FF4"/>
    <w:rsid w:val="00316623"/>
    <w:rsid w:val="0031737F"/>
    <w:rsid w:val="00330DAF"/>
    <w:rsid w:val="003338C7"/>
    <w:rsid w:val="00333EC7"/>
    <w:rsid w:val="00334835"/>
    <w:rsid w:val="00344752"/>
    <w:rsid w:val="0034555E"/>
    <w:rsid w:val="00346ACE"/>
    <w:rsid w:val="00352B55"/>
    <w:rsid w:val="003564A0"/>
    <w:rsid w:val="00356784"/>
    <w:rsid w:val="003612AB"/>
    <w:rsid w:val="003622C8"/>
    <w:rsid w:val="00364502"/>
    <w:rsid w:val="003716FC"/>
    <w:rsid w:val="00376986"/>
    <w:rsid w:val="00377134"/>
    <w:rsid w:val="00381493"/>
    <w:rsid w:val="00381C19"/>
    <w:rsid w:val="003852E0"/>
    <w:rsid w:val="00385426"/>
    <w:rsid w:val="0039018B"/>
    <w:rsid w:val="00390BE3"/>
    <w:rsid w:val="00395CB2"/>
    <w:rsid w:val="003A0539"/>
    <w:rsid w:val="003A07A3"/>
    <w:rsid w:val="003A13BC"/>
    <w:rsid w:val="003A3397"/>
    <w:rsid w:val="003A7F8C"/>
    <w:rsid w:val="003B7AD5"/>
    <w:rsid w:val="003C22A7"/>
    <w:rsid w:val="003C6A8F"/>
    <w:rsid w:val="003C7C2B"/>
    <w:rsid w:val="003D7A19"/>
    <w:rsid w:val="003E0846"/>
    <w:rsid w:val="003F0A31"/>
    <w:rsid w:val="003F0BBA"/>
    <w:rsid w:val="003F1041"/>
    <w:rsid w:val="003F3EF4"/>
    <w:rsid w:val="003F6037"/>
    <w:rsid w:val="003F78D6"/>
    <w:rsid w:val="0040038E"/>
    <w:rsid w:val="00405201"/>
    <w:rsid w:val="0040648E"/>
    <w:rsid w:val="00406CD3"/>
    <w:rsid w:val="004235A4"/>
    <w:rsid w:val="00424381"/>
    <w:rsid w:val="00426AA6"/>
    <w:rsid w:val="00430F90"/>
    <w:rsid w:val="00432A32"/>
    <w:rsid w:val="00441B91"/>
    <w:rsid w:val="00444EA2"/>
    <w:rsid w:val="00451E7A"/>
    <w:rsid w:val="004524F2"/>
    <w:rsid w:val="0045279F"/>
    <w:rsid w:val="0045603A"/>
    <w:rsid w:val="00456EA5"/>
    <w:rsid w:val="0046763A"/>
    <w:rsid w:val="00467DFD"/>
    <w:rsid w:val="0047266B"/>
    <w:rsid w:val="00472FF8"/>
    <w:rsid w:val="0047612A"/>
    <w:rsid w:val="00477780"/>
    <w:rsid w:val="0048186F"/>
    <w:rsid w:val="004840CA"/>
    <w:rsid w:val="004901A9"/>
    <w:rsid w:val="00491FEB"/>
    <w:rsid w:val="004A0EEA"/>
    <w:rsid w:val="004A501D"/>
    <w:rsid w:val="004A559E"/>
    <w:rsid w:val="004A5733"/>
    <w:rsid w:val="004A697F"/>
    <w:rsid w:val="004C05CE"/>
    <w:rsid w:val="004C08CA"/>
    <w:rsid w:val="004C0E25"/>
    <w:rsid w:val="004C3382"/>
    <w:rsid w:val="004D0E0D"/>
    <w:rsid w:val="004D2F99"/>
    <w:rsid w:val="004D34CE"/>
    <w:rsid w:val="004D655B"/>
    <w:rsid w:val="004D689B"/>
    <w:rsid w:val="004D784D"/>
    <w:rsid w:val="004E6AE2"/>
    <w:rsid w:val="004F449E"/>
    <w:rsid w:val="004F5325"/>
    <w:rsid w:val="004F6729"/>
    <w:rsid w:val="004F7221"/>
    <w:rsid w:val="00507D23"/>
    <w:rsid w:val="005108E2"/>
    <w:rsid w:val="005134AD"/>
    <w:rsid w:val="005200B4"/>
    <w:rsid w:val="00522E70"/>
    <w:rsid w:val="00537838"/>
    <w:rsid w:val="00540E11"/>
    <w:rsid w:val="00542B9D"/>
    <w:rsid w:val="0054345C"/>
    <w:rsid w:val="00547E7F"/>
    <w:rsid w:val="00560860"/>
    <w:rsid w:val="005618A2"/>
    <w:rsid w:val="00562D0D"/>
    <w:rsid w:val="00575C85"/>
    <w:rsid w:val="00577F5D"/>
    <w:rsid w:val="00581416"/>
    <w:rsid w:val="00584A45"/>
    <w:rsid w:val="00587B4E"/>
    <w:rsid w:val="00590F00"/>
    <w:rsid w:val="00591E10"/>
    <w:rsid w:val="00592357"/>
    <w:rsid w:val="00592EDD"/>
    <w:rsid w:val="005A02D8"/>
    <w:rsid w:val="005B04A0"/>
    <w:rsid w:val="005B20EE"/>
    <w:rsid w:val="005B4009"/>
    <w:rsid w:val="005B462E"/>
    <w:rsid w:val="005B4B48"/>
    <w:rsid w:val="005C650A"/>
    <w:rsid w:val="005D2545"/>
    <w:rsid w:val="005D72B3"/>
    <w:rsid w:val="005E2208"/>
    <w:rsid w:val="005E2A1C"/>
    <w:rsid w:val="005E37E4"/>
    <w:rsid w:val="005E407D"/>
    <w:rsid w:val="005E6324"/>
    <w:rsid w:val="005E7FC1"/>
    <w:rsid w:val="005F0303"/>
    <w:rsid w:val="005F1EF7"/>
    <w:rsid w:val="00606FCF"/>
    <w:rsid w:val="00607BB3"/>
    <w:rsid w:val="00614200"/>
    <w:rsid w:val="00614E52"/>
    <w:rsid w:val="0062217D"/>
    <w:rsid w:val="0062604A"/>
    <w:rsid w:val="0063194A"/>
    <w:rsid w:val="006332E9"/>
    <w:rsid w:val="00640BC8"/>
    <w:rsid w:val="0064109F"/>
    <w:rsid w:val="00642240"/>
    <w:rsid w:val="006501DA"/>
    <w:rsid w:val="00652D53"/>
    <w:rsid w:val="0065683F"/>
    <w:rsid w:val="0065799C"/>
    <w:rsid w:val="00660AF7"/>
    <w:rsid w:val="0067355D"/>
    <w:rsid w:val="006766F1"/>
    <w:rsid w:val="00676932"/>
    <w:rsid w:val="00680F15"/>
    <w:rsid w:val="00681E10"/>
    <w:rsid w:val="0068700A"/>
    <w:rsid w:val="00687A87"/>
    <w:rsid w:val="00687DFB"/>
    <w:rsid w:val="00691C2E"/>
    <w:rsid w:val="00693661"/>
    <w:rsid w:val="00695134"/>
    <w:rsid w:val="006A1D38"/>
    <w:rsid w:val="006A208B"/>
    <w:rsid w:val="006B4674"/>
    <w:rsid w:val="006C3D8F"/>
    <w:rsid w:val="006C4F01"/>
    <w:rsid w:val="006D0F56"/>
    <w:rsid w:val="006D675C"/>
    <w:rsid w:val="006D6C93"/>
    <w:rsid w:val="006D7CEF"/>
    <w:rsid w:val="006E5737"/>
    <w:rsid w:val="006F0EEC"/>
    <w:rsid w:val="006F33D9"/>
    <w:rsid w:val="006F51F2"/>
    <w:rsid w:val="00700A7A"/>
    <w:rsid w:val="007023A3"/>
    <w:rsid w:val="00706EB6"/>
    <w:rsid w:val="007112BB"/>
    <w:rsid w:val="007120BD"/>
    <w:rsid w:val="00720DF5"/>
    <w:rsid w:val="007212CA"/>
    <w:rsid w:val="00721E52"/>
    <w:rsid w:val="00725407"/>
    <w:rsid w:val="00730D08"/>
    <w:rsid w:val="00733853"/>
    <w:rsid w:val="00735051"/>
    <w:rsid w:val="0073774E"/>
    <w:rsid w:val="007403A8"/>
    <w:rsid w:val="0076269D"/>
    <w:rsid w:val="00762CF1"/>
    <w:rsid w:val="00765FAE"/>
    <w:rsid w:val="0077207E"/>
    <w:rsid w:val="0077515D"/>
    <w:rsid w:val="00777E44"/>
    <w:rsid w:val="007836D8"/>
    <w:rsid w:val="007859AC"/>
    <w:rsid w:val="00786947"/>
    <w:rsid w:val="0079115D"/>
    <w:rsid w:val="00791B8D"/>
    <w:rsid w:val="00792BE3"/>
    <w:rsid w:val="007947E7"/>
    <w:rsid w:val="007A4FAA"/>
    <w:rsid w:val="007B0DFD"/>
    <w:rsid w:val="007B5DD8"/>
    <w:rsid w:val="007C5A89"/>
    <w:rsid w:val="007C5C6B"/>
    <w:rsid w:val="007C63F7"/>
    <w:rsid w:val="007D2A53"/>
    <w:rsid w:val="007D3192"/>
    <w:rsid w:val="007D6D2E"/>
    <w:rsid w:val="007F520B"/>
    <w:rsid w:val="007F5DBD"/>
    <w:rsid w:val="007F7642"/>
    <w:rsid w:val="008007FC"/>
    <w:rsid w:val="008014AB"/>
    <w:rsid w:val="00803DF0"/>
    <w:rsid w:val="00803FA4"/>
    <w:rsid w:val="00805B70"/>
    <w:rsid w:val="00807D7D"/>
    <w:rsid w:val="0081596A"/>
    <w:rsid w:val="00817062"/>
    <w:rsid w:val="008176B4"/>
    <w:rsid w:val="00825DEB"/>
    <w:rsid w:val="00825FB9"/>
    <w:rsid w:val="00826C6A"/>
    <w:rsid w:val="00827036"/>
    <w:rsid w:val="0083060A"/>
    <w:rsid w:val="00830BDC"/>
    <w:rsid w:val="0083111B"/>
    <w:rsid w:val="00832D1C"/>
    <w:rsid w:val="00833B04"/>
    <w:rsid w:val="00835D2D"/>
    <w:rsid w:val="00841321"/>
    <w:rsid w:val="00841B29"/>
    <w:rsid w:val="008426C9"/>
    <w:rsid w:val="0084680D"/>
    <w:rsid w:val="00847A61"/>
    <w:rsid w:val="008527F5"/>
    <w:rsid w:val="0085344B"/>
    <w:rsid w:val="00854AE3"/>
    <w:rsid w:val="0085595F"/>
    <w:rsid w:val="0086045A"/>
    <w:rsid w:val="0086282D"/>
    <w:rsid w:val="00866991"/>
    <w:rsid w:val="00871887"/>
    <w:rsid w:val="008718AE"/>
    <w:rsid w:val="008727CE"/>
    <w:rsid w:val="0087500E"/>
    <w:rsid w:val="00875F20"/>
    <w:rsid w:val="00876CDA"/>
    <w:rsid w:val="00877EFB"/>
    <w:rsid w:val="0088013B"/>
    <w:rsid w:val="008814F0"/>
    <w:rsid w:val="008853FC"/>
    <w:rsid w:val="00885EE8"/>
    <w:rsid w:val="00887DCE"/>
    <w:rsid w:val="008938C3"/>
    <w:rsid w:val="008954B6"/>
    <w:rsid w:val="008A03A9"/>
    <w:rsid w:val="008A0714"/>
    <w:rsid w:val="008A2E1E"/>
    <w:rsid w:val="008A31D0"/>
    <w:rsid w:val="008A4005"/>
    <w:rsid w:val="008B12C5"/>
    <w:rsid w:val="008B4AE1"/>
    <w:rsid w:val="008C542F"/>
    <w:rsid w:val="008D2411"/>
    <w:rsid w:val="008D49A9"/>
    <w:rsid w:val="008E3E10"/>
    <w:rsid w:val="008E4000"/>
    <w:rsid w:val="008F0FD4"/>
    <w:rsid w:val="008F101C"/>
    <w:rsid w:val="008F325A"/>
    <w:rsid w:val="008F3E0C"/>
    <w:rsid w:val="008F6D17"/>
    <w:rsid w:val="00900B2B"/>
    <w:rsid w:val="00903240"/>
    <w:rsid w:val="00905E60"/>
    <w:rsid w:val="00905F41"/>
    <w:rsid w:val="009060AD"/>
    <w:rsid w:val="0091113C"/>
    <w:rsid w:val="00926505"/>
    <w:rsid w:val="00927446"/>
    <w:rsid w:val="00931224"/>
    <w:rsid w:val="00932FD9"/>
    <w:rsid w:val="00933B37"/>
    <w:rsid w:val="00940C94"/>
    <w:rsid w:val="009430FB"/>
    <w:rsid w:val="009442EB"/>
    <w:rsid w:val="0094704F"/>
    <w:rsid w:val="009511F7"/>
    <w:rsid w:val="00964C8E"/>
    <w:rsid w:val="00971434"/>
    <w:rsid w:val="00972F9A"/>
    <w:rsid w:val="00973101"/>
    <w:rsid w:val="009744D2"/>
    <w:rsid w:val="00981A79"/>
    <w:rsid w:val="00982F0F"/>
    <w:rsid w:val="00983497"/>
    <w:rsid w:val="00984DF5"/>
    <w:rsid w:val="0098594E"/>
    <w:rsid w:val="00986CF8"/>
    <w:rsid w:val="00990FC8"/>
    <w:rsid w:val="00992355"/>
    <w:rsid w:val="00995ADF"/>
    <w:rsid w:val="00995FA6"/>
    <w:rsid w:val="009A03F8"/>
    <w:rsid w:val="009A043C"/>
    <w:rsid w:val="009A7002"/>
    <w:rsid w:val="009B50BE"/>
    <w:rsid w:val="009C31F4"/>
    <w:rsid w:val="009D1851"/>
    <w:rsid w:val="009D3907"/>
    <w:rsid w:val="009D47F1"/>
    <w:rsid w:val="009D72FC"/>
    <w:rsid w:val="009D75CE"/>
    <w:rsid w:val="009D7A93"/>
    <w:rsid w:val="009E0A95"/>
    <w:rsid w:val="009E110D"/>
    <w:rsid w:val="009E4E02"/>
    <w:rsid w:val="009E5682"/>
    <w:rsid w:val="009E7FA6"/>
    <w:rsid w:val="009F1212"/>
    <w:rsid w:val="009F434F"/>
    <w:rsid w:val="009F491C"/>
    <w:rsid w:val="009F4B40"/>
    <w:rsid w:val="009F4CE4"/>
    <w:rsid w:val="009F536F"/>
    <w:rsid w:val="009F5839"/>
    <w:rsid w:val="00A001AC"/>
    <w:rsid w:val="00A00928"/>
    <w:rsid w:val="00A00C50"/>
    <w:rsid w:val="00A01A0C"/>
    <w:rsid w:val="00A11712"/>
    <w:rsid w:val="00A131E2"/>
    <w:rsid w:val="00A135B7"/>
    <w:rsid w:val="00A13AA7"/>
    <w:rsid w:val="00A2377E"/>
    <w:rsid w:val="00A24FD8"/>
    <w:rsid w:val="00A26C62"/>
    <w:rsid w:val="00A34AF7"/>
    <w:rsid w:val="00A37160"/>
    <w:rsid w:val="00A40131"/>
    <w:rsid w:val="00A45CCB"/>
    <w:rsid w:val="00A55550"/>
    <w:rsid w:val="00A63CF7"/>
    <w:rsid w:val="00A74FF4"/>
    <w:rsid w:val="00A76A77"/>
    <w:rsid w:val="00A77968"/>
    <w:rsid w:val="00A82581"/>
    <w:rsid w:val="00A826CD"/>
    <w:rsid w:val="00A86513"/>
    <w:rsid w:val="00A87F1C"/>
    <w:rsid w:val="00A94841"/>
    <w:rsid w:val="00A9535A"/>
    <w:rsid w:val="00A95493"/>
    <w:rsid w:val="00AA0530"/>
    <w:rsid w:val="00AA2B30"/>
    <w:rsid w:val="00AA3EBA"/>
    <w:rsid w:val="00AB0B81"/>
    <w:rsid w:val="00AB5C45"/>
    <w:rsid w:val="00AC1EAA"/>
    <w:rsid w:val="00AD40D1"/>
    <w:rsid w:val="00AD41C8"/>
    <w:rsid w:val="00AD52AB"/>
    <w:rsid w:val="00AD5AE3"/>
    <w:rsid w:val="00AD6A58"/>
    <w:rsid w:val="00AF045B"/>
    <w:rsid w:val="00AF5E7E"/>
    <w:rsid w:val="00B03606"/>
    <w:rsid w:val="00B03CF8"/>
    <w:rsid w:val="00B04A34"/>
    <w:rsid w:val="00B04AC2"/>
    <w:rsid w:val="00B05A16"/>
    <w:rsid w:val="00B078FF"/>
    <w:rsid w:val="00B134F6"/>
    <w:rsid w:val="00B13DC4"/>
    <w:rsid w:val="00B15793"/>
    <w:rsid w:val="00B23E28"/>
    <w:rsid w:val="00B23F5D"/>
    <w:rsid w:val="00B24079"/>
    <w:rsid w:val="00B2412E"/>
    <w:rsid w:val="00B25DBC"/>
    <w:rsid w:val="00B33880"/>
    <w:rsid w:val="00B34E71"/>
    <w:rsid w:val="00B43D45"/>
    <w:rsid w:val="00B454A4"/>
    <w:rsid w:val="00B46AD6"/>
    <w:rsid w:val="00B475B5"/>
    <w:rsid w:val="00B550C2"/>
    <w:rsid w:val="00B55C57"/>
    <w:rsid w:val="00B55E1B"/>
    <w:rsid w:val="00B5636D"/>
    <w:rsid w:val="00B66CE0"/>
    <w:rsid w:val="00B702CC"/>
    <w:rsid w:val="00B7674E"/>
    <w:rsid w:val="00B81375"/>
    <w:rsid w:val="00B82153"/>
    <w:rsid w:val="00B84CB3"/>
    <w:rsid w:val="00B8527A"/>
    <w:rsid w:val="00B9271C"/>
    <w:rsid w:val="00BA0B5E"/>
    <w:rsid w:val="00BA5015"/>
    <w:rsid w:val="00BA5E34"/>
    <w:rsid w:val="00BA5E3B"/>
    <w:rsid w:val="00BA7BD6"/>
    <w:rsid w:val="00BB24C5"/>
    <w:rsid w:val="00BB2F27"/>
    <w:rsid w:val="00BB45F6"/>
    <w:rsid w:val="00BB5D37"/>
    <w:rsid w:val="00BC5A99"/>
    <w:rsid w:val="00BE0537"/>
    <w:rsid w:val="00BE4276"/>
    <w:rsid w:val="00BE6172"/>
    <w:rsid w:val="00BF1E4E"/>
    <w:rsid w:val="00BF52FC"/>
    <w:rsid w:val="00BF5404"/>
    <w:rsid w:val="00BF5733"/>
    <w:rsid w:val="00C011B7"/>
    <w:rsid w:val="00C055BF"/>
    <w:rsid w:val="00C058A9"/>
    <w:rsid w:val="00C121E8"/>
    <w:rsid w:val="00C166A2"/>
    <w:rsid w:val="00C22879"/>
    <w:rsid w:val="00C2417D"/>
    <w:rsid w:val="00C2539B"/>
    <w:rsid w:val="00C27026"/>
    <w:rsid w:val="00C33A89"/>
    <w:rsid w:val="00C357AD"/>
    <w:rsid w:val="00C41E14"/>
    <w:rsid w:val="00C46074"/>
    <w:rsid w:val="00C478C3"/>
    <w:rsid w:val="00C50D6E"/>
    <w:rsid w:val="00C60DB9"/>
    <w:rsid w:val="00C64B7B"/>
    <w:rsid w:val="00C651DF"/>
    <w:rsid w:val="00C66624"/>
    <w:rsid w:val="00C72FAB"/>
    <w:rsid w:val="00C8092B"/>
    <w:rsid w:val="00C83BE5"/>
    <w:rsid w:val="00C84F2A"/>
    <w:rsid w:val="00C92AB8"/>
    <w:rsid w:val="00C96E61"/>
    <w:rsid w:val="00CA1807"/>
    <w:rsid w:val="00CA5190"/>
    <w:rsid w:val="00CA6A69"/>
    <w:rsid w:val="00CB158F"/>
    <w:rsid w:val="00CB290C"/>
    <w:rsid w:val="00CB2BCB"/>
    <w:rsid w:val="00CB7AA9"/>
    <w:rsid w:val="00CC29F9"/>
    <w:rsid w:val="00CC30A5"/>
    <w:rsid w:val="00CC3ED9"/>
    <w:rsid w:val="00CD537B"/>
    <w:rsid w:val="00CD615D"/>
    <w:rsid w:val="00CE0174"/>
    <w:rsid w:val="00CE04F8"/>
    <w:rsid w:val="00CE1623"/>
    <w:rsid w:val="00CE4387"/>
    <w:rsid w:val="00CF26B7"/>
    <w:rsid w:val="00CF7D9D"/>
    <w:rsid w:val="00D0689E"/>
    <w:rsid w:val="00D101F9"/>
    <w:rsid w:val="00D11D02"/>
    <w:rsid w:val="00D15176"/>
    <w:rsid w:val="00D20871"/>
    <w:rsid w:val="00D208C0"/>
    <w:rsid w:val="00D22F0D"/>
    <w:rsid w:val="00D30181"/>
    <w:rsid w:val="00D336B9"/>
    <w:rsid w:val="00D35B06"/>
    <w:rsid w:val="00D36048"/>
    <w:rsid w:val="00D44715"/>
    <w:rsid w:val="00D46BC5"/>
    <w:rsid w:val="00D53D3D"/>
    <w:rsid w:val="00D53EFA"/>
    <w:rsid w:val="00D5566D"/>
    <w:rsid w:val="00D72768"/>
    <w:rsid w:val="00D7404F"/>
    <w:rsid w:val="00D83EC9"/>
    <w:rsid w:val="00D841C2"/>
    <w:rsid w:val="00D86B85"/>
    <w:rsid w:val="00D91F48"/>
    <w:rsid w:val="00DA1CCB"/>
    <w:rsid w:val="00DA64CB"/>
    <w:rsid w:val="00DB1012"/>
    <w:rsid w:val="00DB1431"/>
    <w:rsid w:val="00DB3509"/>
    <w:rsid w:val="00DB3647"/>
    <w:rsid w:val="00DB40B5"/>
    <w:rsid w:val="00DB4DBD"/>
    <w:rsid w:val="00DB5643"/>
    <w:rsid w:val="00DB5EC3"/>
    <w:rsid w:val="00DB76F1"/>
    <w:rsid w:val="00DB77DC"/>
    <w:rsid w:val="00DC0521"/>
    <w:rsid w:val="00DC1D23"/>
    <w:rsid w:val="00DC39F2"/>
    <w:rsid w:val="00DC51DD"/>
    <w:rsid w:val="00DC75CD"/>
    <w:rsid w:val="00DD1A32"/>
    <w:rsid w:val="00DD3064"/>
    <w:rsid w:val="00DD421A"/>
    <w:rsid w:val="00DD4B8F"/>
    <w:rsid w:val="00DD54E1"/>
    <w:rsid w:val="00DE35E5"/>
    <w:rsid w:val="00DF212B"/>
    <w:rsid w:val="00DF3AA3"/>
    <w:rsid w:val="00DF7699"/>
    <w:rsid w:val="00E003C1"/>
    <w:rsid w:val="00E00F2C"/>
    <w:rsid w:val="00E05030"/>
    <w:rsid w:val="00E07E81"/>
    <w:rsid w:val="00E121BF"/>
    <w:rsid w:val="00E21409"/>
    <w:rsid w:val="00E25CF0"/>
    <w:rsid w:val="00E26559"/>
    <w:rsid w:val="00E3213F"/>
    <w:rsid w:val="00E34843"/>
    <w:rsid w:val="00E35B14"/>
    <w:rsid w:val="00E367F7"/>
    <w:rsid w:val="00E41E1A"/>
    <w:rsid w:val="00E43440"/>
    <w:rsid w:val="00E46EEB"/>
    <w:rsid w:val="00E47C14"/>
    <w:rsid w:val="00E51405"/>
    <w:rsid w:val="00E56AA2"/>
    <w:rsid w:val="00E60338"/>
    <w:rsid w:val="00E60518"/>
    <w:rsid w:val="00E64F29"/>
    <w:rsid w:val="00E705D8"/>
    <w:rsid w:val="00E80A7A"/>
    <w:rsid w:val="00E80EC5"/>
    <w:rsid w:val="00E84B1A"/>
    <w:rsid w:val="00E86CFC"/>
    <w:rsid w:val="00E94E31"/>
    <w:rsid w:val="00E96B6C"/>
    <w:rsid w:val="00EA1445"/>
    <w:rsid w:val="00EA2C58"/>
    <w:rsid w:val="00EA2F2C"/>
    <w:rsid w:val="00EA52AB"/>
    <w:rsid w:val="00EB17D4"/>
    <w:rsid w:val="00EB2876"/>
    <w:rsid w:val="00EB7702"/>
    <w:rsid w:val="00EB7B6E"/>
    <w:rsid w:val="00EB7F03"/>
    <w:rsid w:val="00EC4D4B"/>
    <w:rsid w:val="00EC5AB2"/>
    <w:rsid w:val="00ED2DCC"/>
    <w:rsid w:val="00ED4592"/>
    <w:rsid w:val="00ED7869"/>
    <w:rsid w:val="00ED7E0F"/>
    <w:rsid w:val="00EF1075"/>
    <w:rsid w:val="00EF2573"/>
    <w:rsid w:val="00EF3FFA"/>
    <w:rsid w:val="00EF547D"/>
    <w:rsid w:val="00F02C53"/>
    <w:rsid w:val="00F073E9"/>
    <w:rsid w:val="00F15B0E"/>
    <w:rsid w:val="00F27CC9"/>
    <w:rsid w:val="00F31328"/>
    <w:rsid w:val="00F31BE2"/>
    <w:rsid w:val="00F31CE8"/>
    <w:rsid w:val="00F36408"/>
    <w:rsid w:val="00F4446C"/>
    <w:rsid w:val="00F44659"/>
    <w:rsid w:val="00F47CC8"/>
    <w:rsid w:val="00F501FB"/>
    <w:rsid w:val="00F51567"/>
    <w:rsid w:val="00F51E1C"/>
    <w:rsid w:val="00F51FD6"/>
    <w:rsid w:val="00F5603C"/>
    <w:rsid w:val="00F63048"/>
    <w:rsid w:val="00F637AE"/>
    <w:rsid w:val="00F650D5"/>
    <w:rsid w:val="00F651FF"/>
    <w:rsid w:val="00F65729"/>
    <w:rsid w:val="00F65BFB"/>
    <w:rsid w:val="00F66040"/>
    <w:rsid w:val="00F666DD"/>
    <w:rsid w:val="00F72295"/>
    <w:rsid w:val="00F73F3D"/>
    <w:rsid w:val="00F76938"/>
    <w:rsid w:val="00F773C8"/>
    <w:rsid w:val="00F77B3F"/>
    <w:rsid w:val="00F77D3B"/>
    <w:rsid w:val="00F82CEC"/>
    <w:rsid w:val="00F849B7"/>
    <w:rsid w:val="00FA31B6"/>
    <w:rsid w:val="00FA40E8"/>
    <w:rsid w:val="00FA7F95"/>
    <w:rsid w:val="00FB3216"/>
    <w:rsid w:val="00FB7B34"/>
    <w:rsid w:val="00FC4FCD"/>
    <w:rsid w:val="00FC5BF5"/>
    <w:rsid w:val="00FD3445"/>
    <w:rsid w:val="00FD357C"/>
    <w:rsid w:val="00FD3816"/>
    <w:rsid w:val="00FD586B"/>
    <w:rsid w:val="00FD63CF"/>
    <w:rsid w:val="00FD657E"/>
    <w:rsid w:val="00FE0F1F"/>
    <w:rsid w:val="00FE298B"/>
    <w:rsid w:val="00FE37DC"/>
    <w:rsid w:val="00FE5D04"/>
    <w:rsid w:val="00FF5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0A9F4"/>
  <w15:chartTrackingRefBased/>
  <w15:docId w15:val="{28239F36-26D8-4FF0-A951-78073F64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1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5134"/>
    <w:pPr>
      <w:tabs>
        <w:tab w:val="center" w:pos="4844"/>
        <w:tab w:val="right" w:pos="9689"/>
      </w:tabs>
      <w:spacing w:after="0" w:line="240" w:lineRule="auto"/>
    </w:pPr>
  </w:style>
  <w:style w:type="character" w:customStyle="1" w:styleId="HeaderChar">
    <w:name w:val="Header Char"/>
    <w:basedOn w:val="DefaultParagraphFont"/>
    <w:link w:val="Header"/>
    <w:uiPriority w:val="99"/>
    <w:rsid w:val="00695134"/>
  </w:style>
  <w:style w:type="paragraph" w:styleId="Footer">
    <w:name w:val="footer"/>
    <w:basedOn w:val="Normal"/>
    <w:link w:val="FooterChar"/>
    <w:uiPriority w:val="99"/>
    <w:unhideWhenUsed/>
    <w:rsid w:val="00695134"/>
    <w:pPr>
      <w:tabs>
        <w:tab w:val="center" w:pos="4844"/>
        <w:tab w:val="right" w:pos="9689"/>
      </w:tabs>
      <w:spacing w:after="0" w:line="240" w:lineRule="auto"/>
    </w:pPr>
  </w:style>
  <w:style w:type="character" w:customStyle="1" w:styleId="FooterChar">
    <w:name w:val="Footer Char"/>
    <w:basedOn w:val="DefaultParagraphFont"/>
    <w:link w:val="Footer"/>
    <w:uiPriority w:val="99"/>
    <w:rsid w:val="00695134"/>
  </w:style>
  <w:style w:type="paragraph" w:styleId="ListParagraph">
    <w:name w:val="List Paragraph"/>
    <w:basedOn w:val="Normal"/>
    <w:uiPriority w:val="34"/>
    <w:qFormat/>
    <w:rsid w:val="00CC29F9"/>
    <w:pPr>
      <w:ind w:left="720"/>
      <w:contextualSpacing/>
    </w:pPr>
    <w:rPr>
      <w:lang w:val="ro-RO"/>
    </w:rPr>
  </w:style>
  <w:style w:type="character" w:styleId="CommentReference">
    <w:name w:val="annotation reference"/>
    <w:basedOn w:val="DefaultParagraphFont"/>
    <w:semiHidden/>
    <w:unhideWhenUsed/>
    <w:rsid w:val="00E05030"/>
    <w:rPr>
      <w:sz w:val="16"/>
      <w:szCs w:val="16"/>
    </w:rPr>
  </w:style>
  <w:style w:type="paragraph" w:styleId="CommentText">
    <w:name w:val="annotation text"/>
    <w:basedOn w:val="Normal"/>
    <w:link w:val="CommentTextChar"/>
    <w:unhideWhenUsed/>
    <w:rsid w:val="00E05030"/>
    <w:pPr>
      <w:spacing w:line="240" w:lineRule="auto"/>
    </w:pPr>
    <w:rPr>
      <w:sz w:val="20"/>
      <w:szCs w:val="20"/>
    </w:rPr>
  </w:style>
  <w:style w:type="character" w:customStyle="1" w:styleId="CommentTextChar">
    <w:name w:val="Comment Text Char"/>
    <w:basedOn w:val="DefaultParagraphFont"/>
    <w:link w:val="CommentText"/>
    <w:rsid w:val="00E05030"/>
    <w:rPr>
      <w:sz w:val="20"/>
      <w:szCs w:val="20"/>
    </w:rPr>
  </w:style>
  <w:style w:type="paragraph" w:styleId="CommentSubject">
    <w:name w:val="annotation subject"/>
    <w:basedOn w:val="CommentText"/>
    <w:next w:val="CommentText"/>
    <w:link w:val="CommentSubjectChar"/>
    <w:uiPriority w:val="99"/>
    <w:semiHidden/>
    <w:unhideWhenUsed/>
    <w:rsid w:val="00E05030"/>
    <w:rPr>
      <w:b/>
      <w:bCs/>
    </w:rPr>
  </w:style>
  <w:style w:type="character" w:customStyle="1" w:styleId="CommentSubjectChar">
    <w:name w:val="Comment Subject Char"/>
    <w:basedOn w:val="CommentTextChar"/>
    <w:link w:val="CommentSubject"/>
    <w:uiPriority w:val="99"/>
    <w:semiHidden/>
    <w:rsid w:val="00E05030"/>
    <w:rPr>
      <w:b/>
      <w:bCs/>
      <w:sz w:val="20"/>
      <w:szCs w:val="20"/>
    </w:rPr>
  </w:style>
  <w:style w:type="paragraph" w:styleId="BalloonText">
    <w:name w:val="Balloon Text"/>
    <w:basedOn w:val="Normal"/>
    <w:link w:val="BalloonTextChar"/>
    <w:uiPriority w:val="99"/>
    <w:semiHidden/>
    <w:unhideWhenUsed/>
    <w:rsid w:val="00E050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030"/>
    <w:rPr>
      <w:rFonts w:ascii="Segoe UI" w:hAnsi="Segoe UI" w:cs="Segoe UI"/>
      <w:sz w:val="18"/>
      <w:szCs w:val="18"/>
    </w:rPr>
  </w:style>
  <w:style w:type="paragraph" w:customStyle="1" w:styleId="CM4">
    <w:name w:val="CM4"/>
    <w:basedOn w:val="Normal"/>
    <w:next w:val="Normal"/>
    <w:uiPriority w:val="99"/>
    <w:rsid w:val="00C83BE5"/>
    <w:pPr>
      <w:autoSpaceDE w:val="0"/>
      <w:autoSpaceDN w:val="0"/>
      <w:adjustRightInd w:val="0"/>
      <w:spacing w:after="0" w:line="240" w:lineRule="auto"/>
    </w:pPr>
    <w:rPr>
      <w:rFonts w:ascii="EUAlbertina" w:eastAsia="Times New Roman" w:hAnsi="EUAlbertina" w:cs="Times New Roman"/>
      <w:sz w:val="24"/>
      <w:szCs w:val="24"/>
    </w:rPr>
  </w:style>
  <w:style w:type="paragraph" w:styleId="Revision">
    <w:name w:val="Revision"/>
    <w:hidden/>
    <w:uiPriority w:val="99"/>
    <w:semiHidden/>
    <w:rsid w:val="00180B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85280">
      <w:bodyDiv w:val="1"/>
      <w:marLeft w:val="0"/>
      <w:marRight w:val="0"/>
      <w:marTop w:val="0"/>
      <w:marBottom w:val="0"/>
      <w:divBdr>
        <w:top w:val="none" w:sz="0" w:space="0" w:color="auto"/>
        <w:left w:val="none" w:sz="0" w:space="0" w:color="auto"/>
        <w:bottom w:val="none" w:sz="0" w:space="0" w:color="auto"/>
        <w:right w:val="none" w:sz="0" w:space="0" w:color="auto"/>
      </w:divBdr>
    </w:div>
    <w:div w:id="371003447">
      <w:bodyDiv w:val="1"/>
      <w:marLeft w:val="0"/>
      <w:marRight w:val="0"/>
      <w:marTop w:val="0"/>
      <w:marBottom w:val="0"/>
      <w:divBdr>
        <w:top w:val="none" w:sz="0" w:space="0" w:color="auto"/>
        <w:left w:val="none" w:sz="0" w:space="0" w:color="auto"/>
        <w:bottom w:val="none" w:sz="0" w:space="0" w:color="auto"/>
        <w:right w:val="none" w:sz="0" w:space="0" w:color="auto"/>
      </w:divBdr>
    </w:div>
    <w:div w:id="837771467">
      <w:bodyDiv w:val="1"/>
      <w:marLeft w:val="0"/>
      <w:marRight w:val="0"/>
      <w:marTop w:val="0"/>
      <w:marBottom w:val="0"/>
      <w:divBdr>
        <w:top w:val="none" w:sz="0" w:space="0" w:color="auto"/>
        <w:left w:val="none" w:sz="0" w:space="0" w:color="auto"/>
        <w:bottom w:val="none" w:sz="0" w:space="0" w:color="auto"/>
        <w:right w:val="none" w:sz="0" w:space="0" w:color="auto"/>
      </w:divBdr>
    </w:div>
    <w:div w:id="162858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3edab2dab2c3387671edca4397bcec72">
  <xsd:schema xmlns:xsd="http://www.w3.org/2001/XMLSchema" xmlns:xs="http://www.w3.org/2001/XMLSchema" xmlns:p="http://schemas.microsoft.com/office/2006/metadata/properties" xmlns:ns2="ab897e66-8555-453e-a498-d234c2d9a514" targetNamespace="http://schemas.microsoft.com/office/2006/metadata/properties" ma:root="true" ma:fieldsID="89625898adbe3814e28d4b00f82f36bf"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DA22B-DF4A-41CE-B635-EF665F5B0FCB}">
  <ds:schemaRefs>
    <ds:schemaRef ds:uri="http://schemas.microsoft.com/sharepoint/v3/contenttype/forms"/>
  </ds:schemaRefs>
</ds:datastoreItem>
</file>

<file path=customXml/itemProps2.xml><?xml version="1.0" encoding="utf-8"?>
<ds:datastoreItem xmlns:ds="http://schemas.openxmlformats.org/officeDocument/2006/customXml" ds:itemID="{8D48A923-1404-419D-A204-19C592EC86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520F55-4AC2-4649-B16A-C1BDBAFB3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E4C4EA-6D49-41C2-9536-FAFE9CAA5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2024-06-07T09:06:00Z</cp:lastPrinted>
  <dcterms:created xsi:type="dcterms:W3CDTF">2024-06-07T09:06:00Z</dcterms:created>
  <dcterms:modified xsi:type="dcterms:W3CDTF">2024-06-07T09:06:00Z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37b5bfb1-e4fd-44ad-9b3b-feaccbe3869d</vt:lpwstr>
  </property>
  <property fmtid="{D5CDD505-2E9C-101B-9397-08002B2CF9AE}" pid="3" name="ContentTypeId">
    <vt:lpwstr>0x01010041CC8FD9FC602D47942046F00E7457D2</vt:lpwstr>
  </property>
  <property fmtid="{D5CDD505-2E9C-101B-9397-08002B2CF9AE}" pid="4" name="Clasificare">
    <vt:lpwstr>NONE</vt:lpwstr>
  </property>
</Properties>
</file>